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附件1：淮南师范学院劳务费及补充性绩效工作量清单目录</w:t>
      </w:r>
    </w:p>
    <w:tbl>
      <w:tblPr>
        <w:tblStyle w:val="5"/>
        <w:tblW w:w="14119" w:type="dxa"/>
        <w:jc w:val="center"/>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95"/>
        <w:gridCol w:w="1978"/>
        <w:gridCol w:w="4341"/>
        <w:gridCol w:w="3627"/>
        <w:gridCol w:w="1865"/>
        <w:gridCol w:w="1913"/>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jc w:val="center"/>
        </w:trPr>
        <w:tc>
          <w:tcPr>
            <w:tcW w:w="2373"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napToGrid w:val="0"/>
              <w:jc w:val="center"/>
              <w:rPr>
                <w:rFonts w:hAnsi="宋体"/>
                <w:b/>
                <w:bCs/>
                <w:color w:val="000000"/>
                <w:kern w:val="0"/>
                <w:sz w:val="24"/>
              </w:rPr>
            </w:pPr>
            <w:r>
              <w:rPr>
                <w:rFonts w:hint="eastAsia" w:hAnsi="宋体"/>
                <w:b/>
                <w:bCs/>
                <w:color w:val="000000"/>
                <w:kern w:val="0"/>
                <w:sz w:val="24"/>
              </w:rPr>
              <w:t>劳</w:t>
            </w:r>
            <w:r>
              <w:rPr>
                <w:rFonts w:hAnsi="宋体"/>
                <w:b/>
                <w:bCs/>
                <w:color w:val="000000"/>
                <w:kern w:val="0"/>
                <w:sz w:val="24"/>
              </w:rPr>
              <w:t>务费类型</w:t>
            </w:r>
            <w:r>
              <w:rPr>
                <w:rFonts w:hint="eastAsia" w:hAnsi="宋体"/>
                <w:b/>
                <w:bCs/>
                <w:color w:val="000000"/>
                <w:kern w:val="0"/>
                <w:sz w:val="24"/>
              </w:rPr>
              <w:t>、</w:t>
            </w:r>
            <w:r>
              <w:rPr>
                <w:rFonts w:hAnsi="宋体"/>
                <w:b/>
                <w:bCs/>
                <w:color w:val="000000"/>
                <w:kern w:val="0"/>
                <w:sz w:val="24"/>
              </w:rPr>
              <w:t>项目</w:t>
            </w:r>
          </w:p>
        </w:tc>
        <w:tc>
          <w:tcPr>
            <w:tcW w:w="4341"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center"/>
              <w:rPr>
                <w:b/>
                <w:color w:val="000000"/>
                <w:kern w:val="0"/>
                <w:sz w:val="24"/>
              </w:rPr>
            </w:pPr>
            <w:r>
              <w:rPr>
                <w:rFonts w:hint="eastAsia" w:hAnsi="宋体"/>
                <w:b/>
                <w:bCs/>
                <w:color w:val="000000"/>
                <w:kern w:val="0"/>
                <w:sz w:val="24"/>
              </w:rPr>
              <w:t>校外</w:t>
            </w:r>
            <w:r>
              <w:rPr>
                <w:rFonts w:hAnsi="宋体"/>
                <w:b/>
                <w:bCs/>
                <w:color w:val="000000"/>
                <w:kern w:val="0"/>
                <w:sz w:val="24"/>
              </w:rPr>
              <w:t>标准</w:t>
            </w:r>
          </w:p>
        </w:tc>
        <w:tc>
          <w:tcPr>
            <w:tcW w:w="3627"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center"/>
              <w:rPr>
                <w:rFonts w:hAnsi="宋体"/>
                <w:b/>
                <w:bCs/>
                <w:color w:val="000000"/>
                <w:kern w:val="0"/>
                <w:sz w:val="24"/>
              </w:rPr>
            </w:pPr>
            <w:r>
              <w:rPr>
                <w:rFonts w:hint="eastAsia" w:hAnsi="宋体"/>
                <w:b/>
                <w:bCs/>
                <w:color w:val="000000"/>
                <w:kern w:val="0"/>
                <w:sz w:val="24"/>
              </w:rPr>
              <w:t>校内标准</w:t>
            </w:r>
          </w:p>
        </w:tc>
        <w:tc>
          <w:tcPr>
            <w:tcW w:w="1865"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center"/>
              <w:rPr>
                <w:b/>
                <w:color w:val="000000"/>
                <w:kern w:val="0"/>
                <w:sz w:val="24"/>
              </w:rPr>
            </w:pPr>
            <w:r>
              <w:rPr>
                <w:rFonts w:hAnsi="宋体"/>
                <w:b/>
                <w:bCs/>
                <w:color w:val="000000"/>
                <w:kern w:val="0"/>
                <w:sz w:val="24"/>
              </w:rPr>
              <w:t>经费开支渠道</w:t>
            </w:r>
          </w:p>
        </w:tc>
        <w:tc>
          <w:tcPr>
            <w:tcW w:w="1913"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center"/>
              <w:rPr>
                <w:b/>
                <w:color w:val="000000"/>
                <w:kern w:val="0"/>
                <w:sz w:val="24"/>
              </w:rPr>
            </w:pPr>
            <w:r>
              <w:rPr>
                <w:rFonts w:hAnsi="宋体"/>
                <w:b/>
                <w:bCs/>
                <w:color w:val="000000"/>
                <w:kern w:val="0"/>
                <w:sz w:val="24"/>
              </w:rPr>
              <w:t>审批部门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3" w:hRule="atLeast"/>
          <w:jc w:val="center"/>
        </w:trPr>
        <w:tc>
          <w:tcPr>
            <w:tcW w:w="395" w:type="dxa"/>
            <w:vMerge w:val="restart"/>
            <w:tcBorders>
              <w:top w:val="single" w:color="auto" w:sz="6" w:space="0"/>
              <w:left w:val="single" w:color="auto" w:sz="6" w:space="0"/>
              <w:right w:val="single" w:color="auto" w:sz="4" w:space="0"/>
            </w:tcBorders>
            <w:vAlign w:val="center"/>
          </w:tcPr>
          <w:p>
            <w:pPr>
              <w:widowControl/>
              <w:adjustRightInd w:val="0"/>
              <w:snapToGrid w:val="0"/>
              <w:jc w:val="center"/>
              <w:rPr>
                <w:rFonts w:hAnsi="宋体"/>
                <w:bCs/>
                <w:color w:val="000000"/>
                <w:kern w:val="0"/>
                <w:sz w:val="24"/>
              </w:rPr>
            </w:pPr>
            <w:r>
              <w:rPr>
                <w:rFonts w:hint="eastAsia" w:hAnsi="宋体"/>
                <w:bCs/>
                <w:color w:val="000000"/>
                <w:kern w:val="0"/>
                <w:sz w:val="24"/>
              </w:rPr>
              <w:t>讲座类</w:t>
            </w:r>
          </w:p>
        </w:tc>
        <w:tc>
          <w:tcPr>
            <w:tcW w:w="1978" w:type="dxa"/>
            <w:vMerge w:val="restart"/>
            <w:tcBorders>
              <w:top w:val="single" w:color="auto" w:sz="6" w:space="0"/>
              <w:left w:val="single" w:color="auto" w:sz="4" w:space="0"/>
              <w:right w:val="single" w:color="auto" w:sz="6" w:space="0"/>
            </w:tcBorders>
            <w:vAlign w:val="center"/>
          </w:tcPr>
          <w:p>
            <w:pPr>
              <w:widowControl/>
              <w:adjustRightInd w:val="0"/>
              <w:snapToGrid w:val="0"/>
              <w:jc w:val="center"/>
              <w:rPr>
                <w:rFonts w:hAnsi="宋体"/>
                <w:bCs/>
                <w:color w:val="000000"/>
                <w:kern w:val="0"/>
                <w:sz w:val="24"/>
              </w:rPr>
            </w:pPr>
            <w:r>
              <w:rPr>
                <w:rFonts w:hint="eastAsia" w:hAnsi="宋体"/>
                <w:bCs/>
                <w:color w:val="000000"/>
                <w:kern w:val="0"/>
                <w:sz w:val="24"/>
              </w:rPr>
              <w:t>学术报告</w:t>
            </w:r>
          </w:p>
          <w:p>
            <w:pPr>
              <w:widowControl/>
              <w:adjustRightInd w:val="0"/>
              <w:snapToGrid w:val="0"/>
              <w:jc w:val="center"/>
              <w:rPr>
                <w:rFonts w:hAnsi="宋体"/>
                <w:bCs/>
                <w:color w:val="000000"/>
                <w:kern w:val="0"/>
                <w:sz w:val="24"/>
              </w:rPr>
            </w:pPr>
            <w:r>
              <w:rPr>
                <w:rFonts w:hint="eastAsia" w:hAnsi="宋体"/>
                <w:bCs/>
                <w:color w:val="000000"/>
                <w:kern w:val="0"/>
                <w:sz w:val="24"/>
              </w:rPr>
              <w:t>专题</w:t>
            </w:r>
            <w:r>
              <w:rPr>
                <w:rFonts w:hAnsi="宋体"/>
                <w:bCs/>
                <w:color w:val="000000"/>
                <w:kern w:val="0"/>
                <w:sz w:val="24"/>
              </w:rPr>
              <w:t>讲</w:t>
            </w:r>
            <w:r>
              <w:rPr>
                <w:rFonts w:hint="eastAsia" w:hAnsi="宋体"/>
                <w:bCs/>
                <w:color w:val="000000"/>
                <w:kern w:val="0"/>
                <w:sz w:val="24"/>
              </w:rPr>
              <w:t>座</w:t>
            </w:r>
          </w:p>
          <w:p>
            <w:pPr>
              <w:widowControl/>
              <w:adjustRightInd w:val="0"/>
              <w:snapToGrid w:val="0"/>
              <w:jc w:val="center"/>
              <w:rPr>
                <w:rFonts w:hAnsi="宋体"/>
                <w:bCs/>
                <w:color w:val="000000"/>
                <w:kern w:val="0"/>
                <w:sz w:val="24"/>
              </w:rPr>
            </w:pPr>
            <w:r>
              <w:rPr>
                <w:rFonts w:hint="eastAsia" w:hAnsi="宋体"/>
                <w:bCs/>
                <w:color w:val="000000"/>
                <w:kern w:val="0"/>
                <w:sz w:val="24"/>
              </w:rPr>
              <w:t>咨询报告</w:t>
            </w:r>
          </w:p>
          <w:p>
            <w:pPr>
              <w:widowControl/>
              <w:adjustRightInd w:val="0"/>
              <w:snapToGrid w:val="0"/>
              <w:jc w:val="center"/>
              <w:rPr>
                <w:rFonts w:hAnsi="宋体"/>
                <w:bCs/>
                <w:color w:val="000000"/>
                <w:kern w:val="0"/>
                <w:sz w:val="24"/>
              </w:rPr>
            </w:pPr>
          </w:p>
        </w:tc>
        <w:tc>
          <w:tcPr>
            <w:tcW w:w="4341" w:type="dxa"/>
            <w:vMerge w:val="restart"/>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sz w:val="24"/>
              </w:rPr>
            </w:pPr>
            <w:r>
              <w:rPr>
                <w:rFonts w:hint="eastAsia" w:hAnsi="宋体"/>
                <w:color w:val="000000"/>
                <w:sz w:val="24"/>
              </w:rPr>
              <w:t>（1）</w:t>
            </w:r>
            <w:r>
              <w:rPr>
                <w:rFonts w:hAnsi="宋体"/>
                <w:color w:val="000000"/>
                <w:sz w:val="24"/>
              </w:rPr>
              <w:t>院士、</w:t>
            </w:r>
            <w:r>
              <w:rPr>
                <w:rFonts w:hint="eastAsia" w:hAnsi="宋体"/>
                <w:color w:val="000000"/>
                <w:sz w:val="24"/>
              </w:rPr>
              <w:t>国家级重要人才平台入选者：不超过 5000元/半天；</w:t>
            </w:r>
          </w:p>
          <w:p>
            <w:pPr>
              <w:widowControl/>
              <w:adjustRightInd w:val="0"/>
              <w:snapToGrid w:val="0"/>
              <w:rPr>
                <w:rFonts w:hAnsi="宋体"/>
                <w:color w:val="000000"/>
                <w:sz w:val="24"/>
              </w:rPr>
            </w:pPr>
            <w:r>
              <w:rPr>
                <w:rFonts w:hint="eastAsia" w:hAnsi="宋体"/>
                <w:color w:val="000000"/>
                <w:sz w:val="24"/>
              </w:rPr>
              <w:t>（2）博导、省级重要人才平台入选者：不超过3000</w:t>
            </w:r>
            <w:r>
              <w:rPr>
                <w:rFonts w:hAnsi="宋体"/>
                <w:color w:val="000000"/>
                <w:sz w:val="24"/>
              </w:rPr>
              <w:t>元</w:t>
            </w:r>
            <w:r>
              <w:rPr>
                <w:rFonts w:hint="eastAsia" w:hAnsi="宋体"/>
                <w:color w:val="000000"/>
                <w:sz w:val="24"/>
              </w:rPr>
              <w:t>/半天；</w:t>
            </w:r>
          </w:p>
          <w:p>
            <w:pPr>
              <w:widowControl/>
              <w:adjustRightInd w:val="0"/>
              <w:snapToGrid w:val="0"/>
              <w:rPr>
                <w:rFonts w:hAnsi="宋体"/>
                <w:color w:val="000000"/>
                <w:sz w:val="24"/>
              </w:rPr>
            </w:pPr>
            <w:r>
              <w:rPr>
                <w:rFonts w:hint="eastAsia" w:hAnsi="宋体"/>
                <w:color w:val="000000"/>
                <w:sz w:val="24"/>
              </w:rPr>
              <w:t>（3）正高（正处）、行业企业知名高管：</w:t>
            </w:r>
          </w:p>
          <w:p>
            <w:pPr>
              <w:widowControl/>
              <w:adjustRightInd w:val="0"/>
              <w:snapToGrid w:val="0"/>
              <w:rPr>
                <w:rFonts w:hAnsi="宋体"/>
                <w:color w:val="000000"/>
                <w:sz w:val="24"/>
              </w:rPr>
            </w:pPr>
            <w:r>
              <w:rPr>
                <w:rFonts w:hint="eastAsia" w:hAnsi="宋体"/>
                <w:color w:val="000000"/>
                <w:sz w:val="24"/>
              </w:rPr>
              <w:t>不超过2000</w:t>
            </w:r>
            <w:r>
              <w:rPr>
                <w:rFonts w:hAnsi="宋体"/>
                <w:color w:val="000000"/>
                <w:sz w:val="24"/>
              </w:rPr>
              <w:t>元</w:t>
            </w:r>
            <w:r>
              <w:rPr>
                <w:rFonts w:hint="eastAsia" w:hAnsi="宋体"/>
                <w:color w:val="000000"/>
                <w:sz w:val="24"/>
              </w:rPr>
              <w:t>/半天；</w:t>
            </w:r>
          </w:p>
          <w:p>
            <w:pPr>
              <w:widowControl/>
              <w:adjustRightInd w:val="0"/>
              <w:snapToGrid w:val="0"/>
              <w:rPr>
                <w:rFonts w:hAnsi="宋体"/>
                <w:color w:val="000000"/>
                <w:sz w:val="24"/>
              </w:rPr>
            </w:pPr>
            <w:r>
              <w:rPr>
                <w:rFonts w:hint="eastAsia" w:hAnsi="宋体"/>
                <w:color w:val="000000"/>
                <w:sz w:val="24"/>
              </w:rPr>
              <w:t>（4）</w:t>
            </w:r>
            <w:r>
              <w:rPr>
                <w:rFonts w:hAnsi="宋体"/>
                <w:color w:val="000000"/>
                <w:sz w:val="24"/>
              </w:rPr>
              <w:t>副高</w:t>
            </w:r>
            <w:r>
              <w:rPr>
                <w:rFonts w:hint="eastAsia" w:hAnsi="宋体"/>
                <w:color w:val="000000"/>
                <w:sz w:val="24"/>
              </w:rPr>
              <w:t>（副处）、博士及行业企业高管或高级技术人员：不超过1500</w:t>
            </w:r>
            <w:r>
              <w:rPr>
                <w:rFonts w:hAnsi="宋体"/>
                <w:color w:val="000000"/>
                <w:sz w:val="24"/>
              </w:rPr>
              <w:t>元</w:t>
            </w:r>
            <w:r>
              <w:rPr>
                <w:rFonts w:hint="eastAsia" w:hAnsi="宋体"/>
                <w:color w:val="000000"/>
                <w:sz w:val="24"/>
              </w:rPr>
              <w:t>/半天；</w:t>
            </w:r>
          </w:p>
          <w:p>
            <w:pPr>
              <w:widowControl/>
              <w:adjustRightInd w:val="0"/>
              <w:snapToGrid w:val="0"/>
              <w:rPr>
                <w:rFonts w:hAnsi="宋体"/>
                <w:color w:val="000000"/>
                <w:sz w:val="24"/>
              </w:rPr>
            </w:pPr>
            <w:r>
              <w:rPr>
                <w:rFonts w:hint="eastAsia" w:hAnsi="宋体"/>
                <w:color w:val="000000"/>
                <w:sz w:val="24"/>
              </w:rPr>
              <w:t>（5）</w:t>
            </w:r>
            <w:r>
              <w:rPr>
                <w:rFonts w:hAnsi="宋体"/>
                <w:color w:val="000000"/>
                <w:sz w:val="24"/>
              </w:rPr>
              <w:t>其他人员</w:t>
            </w:r>
            <w:r>
              <w:rPr>
                <w:rFonts w:hint="eastAsia" w:hAnsi="宋体"/>
                <w:color w:val="000000"/>
                <w:sz w:val="24"/>
              </w:rPr>
              <w:t>：不超过800</w:t>
            </w:r>
            <w:r>
              <w:rPr>
                <w:rFonts w:hAnsi="宋体"/>
                <w:color w:val="000000"/>
                <w:sz w:val="24"/>
              </w:rPr>
              <w:t>元</w:t>
            </w:r>
            <w:r>
              <w:rPr>
                <w:rFonts w:hint="eastAsia" w:hAnsi="宋体"/>
                <w:color w:val="000000"/>
                <w:sz w:val="24"/>
              </w:rPr>
              <w:t>/半天；</w:t>
            </w:r>
          </w:p>
          <w:p>
            <w:pPr>
              <w:widowControl/>
              <w:adjustRightInd w:val="0"/>
              <w:snapToGrid w:val="0"/>
              <w:rPr>
                <w:rFonts w:hAnsi="宋体"/>
                <w:color w:val="000000"/>
                <w:sz w:val="24"/>
              </w:rPr>
            </w:pPr>
            <w:r>
              <w:rPr>
                <w:rFonts w:hint="eastAsia" w:hAnsi="宋体"/>
                <w:color w:val="000000"/>
                <w:sz w:val="24"/>
              </w:rPr>
              <w:t>（6）如有特殊情况超出标准的须经学校主要领导审批。</w:t>
            </w:r>
          </w:p>
          <w:p>
            <w:pPr>
              <w:widowControl/>
              <w:adjustRightInd w:val="0"/>
              <w:snapToGrid w:val="0"/>
              <w:rPr>
                <w:rFonts w:hAnsi="宋体"/>
                <w:color w:val="000000"/>
                <w:sz w:val="24"/>
              </w:rPr>
            </w:pPr>
            <w:r>
              <w:rPr>
                <w:rFonts w:hint="eastAsia" w:hAnsi="宋体"/>
                <w:color w:val="000000"/>
                <w:sz w:val="24"/>
              </w:rPr>
              <w:t>（参照《</w:t>
            </w:r>
            <w:r>
              <w:rPr>
                <w:rFonts w:hAnsi="宋体"/>
                <w:color w:val="000000"/>
                <w:sz w:val="24"/>
              </w:rPr>
              <w:t>中央和国家机关培训费管理办法》</w:t>
            </w:r>
            <w:r>
              <w:rPr>
                <w:rFonts w:hint="eastAsia" w:hAnsi="宋体"/>
                <w:color w:val="000000"/>
                <w:sz w:val="24"/>
              </w:rPr>
              <w:t>（</w:t>
            </w:r>
            <w:r>
              <w:rPr>
                <w:rFonts w:hAnsi="宋体"/>
                <w:color w:val="000000"/>
                <w:sz w:val="24"/>
              </w:rPr>
              <w:t>财行[2016]540</w:t>
            </w:r>
            <w:r>
              <w:rPr>
                <w:rFonts w:hint="eastAsia" w:hAnsi="宋体"/>
                <w:color w:val="000000"/>
                <w:sz w:val="24"/>
              </w:rPr>
              <w:t>）、</w:t>
            </w:r>
            <w:bookmarkStart w:id="0" w:name="strDocTitle"/>
            <w:r>
              <w:rPr>
                <w:rFonts w:hint="eastAsia" w:hAnsi="宋体"/>
                <w:color w:val="000000"/>
                <w:sz w:val="24"/>
              </w:rPr>
              <w:t>《安徽省省直机关培训费管理办法》</w:t>
            </w:r>
            <w:bookmarkEnd w:id="0"/>
            <w:r>
              <w:rPr>
                <w:rFonts w:hint="eastAsia" w:hAnsi="宋体"/>
                <w:color w:val="000000"/>
                <w:sz w:val="24"/>
              </w:rPr>
              <w:t>（财行[</w:t>
            </w:r>
            <w:r>
              <w:rPr>
                <w:rFonts w:hAnsi="宋体"/>
                <w:color w:val="000000"/>
                <w:sz w:val="24"/>
              </w:rPr>
              <w:t>2017</w:t>
            </w:r>
            <w:r>
              <w:rPr>
                <w:rFonts w:hint="eastAsia" w:hAnsi="宋体"/>
                <w:color w:val="000000"/>
                <w:sz w:val="24"/>
              </w:rPr>
              <w:t>]</w:t>
            </w:r>
            <w:r>
              <w:rPr>
                <w:rFonts w:hAnsi="宋体"/>
                <w:color w:val="000000"/>
                <w:sz w:val="24"/>
              </w:rPr>
              <w:t>1411号</w:t>
            </w:r>
            <w:r>
              <w:rPr>
                <w:rFonts w:hint="eastAsia" w:hAnsi="宋体"/>
                <w:color w:val="000000"/>
                <w:sz w:val="24"/>
              </w:rPr>
              <w:t>）制定）</w:t>
            </w:r>
          </w:p>
        </w:tc>
        <w:tc>
          <w:tcPr>
            <w:tcW w:w="3627" w:type="dxa"/>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sz w:val="24"/>
              </w:rPr>
            </w:pPr>
            <w:r>
              <w:rPr>
                <w:rFonts w:hint="eastAsia" w:hAnsi="宋体"/>
                <w:color w:val="000000"/>
                <w:sz w:val="24"/>
              </w:rPr>
              <w:t>（1）经学校批准举办的各类讲座报告，不超过2个标准工作量/半天，首次开展的非重复性讲座按照1个标准工作量对报告准备进行补助；</w:t>
            </w:r>
          </w:p>
          <w:p>
            <w:pPr>
              <w:widowControl/>
              <w:adjustRightInd w:val="0"/>
              <w:snapToGrid w:val="0"/>
              <w:rPr>
                <w:rFonts w:hAnsi="宋体"/>
                <w:color w:val="000000"/>
                <w:sz w:val="24"/>
              </w:rPr>
            </w:pPr>
            <w:r>
              <w:rPr>
                <w:rFonts w:hint="eastAsia" w:hAnsi="宋体"/>
                <w:color w:val="000000"/>
                <w:sz w:val="24"/>
              </w:rPr>
              <w:t>（2）正高（正处）、副高（博士或副处）、其他人员分别按照2.0、1.5、1.0乘以职称系数；</w:t>
            </w:r>
          </w:p>
        </w:tc>
        <w:tc>
          <w:tcPr>
            <w:tcW w:w="1865"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bCs/>
                <w:color w:val="000000"/>
                <w:kern w:val="0"/>
                <w:sz w:val="24"/>
              </w:rPr>
            </w:pPr>
            <w:r>
              <w:rPr>
                <w:rFonts w:hint="eastAsia" w:hAnsi="宋体"/>
                <w:color w:val="000000"/>
                <w:kern w:val="0"/>
                <w:sz w:val="24"/>
              </w:rPr>
              <w:t>无校外经费来源且发放对象为校内人员的，纳入绩效管理。</w:t>
            </w:r>
          </w:p>
        </w:tc>
        <w:tc>
          <w:tcPr>
            <w:tcW w:w="1913" w:type="dxa"/>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rPr>
                <w:bCs/>
                <w:color w:val="000000"/>
                <w:kern w:val="0"/>
                <w:sz w:val="24"/>
              </w:rPr>
            </w:pPr>
            <w:r>
              <w:rPr>
                <w:rFonts w:hint="eastAsia"/>
                <w:bCs/>
                <w:color w:val="000000"/>
                <w:kern w:val="0"/>
                <w:sz w:val="24"/>
              </w:rPr>
              <w:t>项目主管部门、分管校领导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395" w:type="dxa"/>
            <w:vMerge w:val="continue"/>
            <w:tcBorders>
              <w:left w:val="single" w:color="auto" w:sz="6" w:space="0"/>
              <w:bottom w:val="single" w:color="auto" w:sz="6" w:space="0"/>
              <w:right w:val="single" w:color="auto" w:sz="4" w:space="0"/>
            </w:tcBorders>
            <w:vAlign w:val="center"/>
          </w:tcPr>
          <w:p>
            <w:pPr>
              <w:widowControl/>
              <w:adjustRightInd w:val="0"/>
              <w:snapToGrid w:val="0"/>
              <w:jc w:val="center"/>
              <w:rPr>
                <w:rFonts w:hAnsi="宋体"/>
                <w:bCs/>
                <w:color w:val="000000"/>
                <w:kern w:val="0"/>
                <w:sz w:val="24"/>
              </w:rPr>
            </w:pPr>
          </w:p>
        </w:tc>
        <w:tc>
          <w:tcPr>
            <w:tcW w:w="1978" w:type="dxa"/>
            <w:vMerge w:val="continue"/>
            <w:tcBorders>
              <w:left w:val="single" w:color="auto" w:sz="4" w:space="0"/>
              <w:bottom w:val="single" w:color="auto" w:sz="6" w:space="0"/>
              <w:right w:val="single" w:color="auto" w:sz="6" w:space="0"/>
            </w:tcBorders>
            <w:vAlign w:val="center"/>
          </w:tcPr>
          <w:p>
            <w:pPr>
              <w:widowControl/>
              <w:adjustRightInd w:val="0"/>
              <w:snapToGrid w:val="0"/>
              <w:jc w:val="center"/>
              <w:rPr>
                <w:rFonts w:hAnsi="宋体"/>
                <w:bCs/>
                <w:color w:val="000000"/>
                <w:kern w:val="0"/>
                <w:sz w:val="24"/>
              </w:rPr>
            </w:pPr>
          </w:p>
        </w:tc>
        <w:tc>
          <w:tcPr>
            <w:tcW w:w="4341" w:type="dxa"/>
            <w:vMerge w:val="continue"/>
            <w:tcBorders>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rPr>
                <w:bCs/>
                <w:color w:val="000000"/>
                <w:kern w:val="0"/>
                <w:sz w:val="24"/>
              </w:rPr>
            </w:pPr>
          </w:p>
        </w:tc>
        <w:tc>
          <w:tcPr>
            <w:tcW w:w="3627" w:type="dxa"/>
            <w:tcBorders>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sz w:val="24"/>
              </w:rPr>
            </w:pPr>
            <w:r>
              <w:rPr>
                <w:rFonts w:hint="eastAsia" w:hAnsi="宋体"/>
                <w:color w:val="000000"/>
                <w:sz w:val="24"/>
              </w:rPr>
              <w:t>（3）二级单位自行组织的：参照校内标准（1）、（2）执行；</w:t>
            </w:r>
          </w:p>
        </w:tc>
        <w:tc>
          <w:tcPr>
            <w:tcW w:w="1865" w:type="dxa"/>
            <w:tcBorders>
              <w:top w:val="single" w:color="auto" w:sz="4"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rPr>
                <w:bCs/>
                <w:color w:val="000000"/>
                <w:kern w:val="0"/>
                <w:sz w:val="24"/>
              </w:rPr>
            </w:pPr>
            <w:r>
              <w:rPr>
                <w:rFonts w:hint="eastAsia"/>
                <w:bCs/>
                <w:color w:val="000000"/>
                <w:kern w:val="0"/>
                <w:sz w:val="24"/>
              </w:rPr>
              <w:t>由二级单位在年终切块经费中解决。</w:t>
            </w:r>
          </w:p>
        </w:tc>
        <w:tc>
          <w:tcPr>
            <w:tcW w:w="1913" w:type="dxa"/>
            <w:tcBorders>
              <w:left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hAnsi="宋体"/>
                <w:bCs/>
                <w:color w:val="000000"/>
                <w:kern w:val="0"/>
                <w:sz w:val="24"/>
              </w:rPr>
            </w:pPr>
            <w:r>
              <w:rPr>
                <w:rFonts w:hint="eastAsia" w:hAnsi="宋体"/>
                <w:bCs/>
                <w:color w:val="000000"/>
                <w:kern w:val="0"/>
                <w:sz w:val="24"/>
              </w:rPr>
              <w:t>二级单位负责人</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jc w:val="center"/>
        </w:trPr>
        <w:tc>
          <w:tcPr>
            <w:tcW w:w="395" w:type="dxa"/>
            <w:vMerge w:val="continue"/>
            <w:tcBorders>
              <w:left w:val="single" w:color="auto" w:sz="6" w:space="0"/>
              <w:bottom w:val="single" w:color="auto" w:sz="6" w:space="0"/>
              <w:right w:val="single" w:color="auto" w:sz="4" w:space="0"/>
            </w:tcBorders>
            <w:vAlign w:val="center"/>
          </w:tcPr>
          <w:p>
            <w:pPr>
              <w:widowControl/>
              <w:adjustRightInd w:val="0"/>
              <w:snapToGrid w:val="0"/>
              <w:jc w:val="center"/>
              <w:rPr>
                <w:rFonts w:hAnsi="宋体"/>
                <w:bCs/>
                <w:color w:val="000000"/>
                <w:kern w:val="0"/>
                <w:sz w:val="24"/>
              </w:rPr>
            </w:pPr>
          </w:p>
        </w:tc>
        <w:tc>
          <w:tcPr>
            <w:tcW w:w="1978" w:type="dxa"/>
            <w:vMerge w:val="continue"/>
            <w:tcBorders>
              <w:left w:val="single" w:color="auto" w:sz="4" w:space="0"/>
              <w:bottom w:val="single" w:color="auto" w:sz="6" w:space="0"/>
              <w:right w:val="single" w:color="auto" w:sz="6" w:space="0"/>
            </w:tcBorders>
            <w:vAlign w:val="center"/>
          </w:tcPr>
          <w:p>
            <w:pPr>
              <w:widowControl/>
              <w:adjustRightInd w:val="0"/>
              <w:snapToGrid w:val="0"/>
              <w:jc w:val="center"/>
              <w:rPr>
                <w:rFonts w:hAnsi="宋体"/>
                <w:bCs/>
                <w:color w:val="000000"/>
                <w:kern w:val="0"/>
                <w:sz w:val="24"/>
              </w:rPr>
            </w:pPr>
          </w:p>
        </w:tc>
        <w:tc>
          <w:tcPr>
            <w:tcW w:w="4341" w:type="dxa"/>
            <w:vMerge w:val="continue"/>
            <w:tcBorders>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rPr>
                <w:bCs/>
                <w:color w:val="000000"/>
                <w:kern w:val="0"/>
                <w:sz w:val="24"/>
              </w:rPr>
            </w:pPr>
          </w:p>
        </w:tc>
        <w:tc>
          <w:tcPr>
            <w:tcW w:w="3627" w:type="dxa"/>
            <w:tcBorders>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sz w:val="24"/>
              </w:rPr>
            </w:pPr>
            <w:r>
              <w:rPr>
                <w:rFonts w:hint="eastAsia" w:hAnsi="宋体"/>
                <w:color w:val="000000"/>
                <w:sz w:val="24"/>
              </w:rPr>
              <w:t>（4）有工资收入的课题组成员不得发放，其他人员参照校外标准乘以0.3执行。</w:t>
            </w:r>
          </w:p>
        </w:tc>
        <w:tc>
          <w:tcPr>
            <w:tcW w:w="1865" w:type="dxa"/>
            <w:tcBorders>
              <w:top w:val="single" w:color="auto" w:sz="4"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rPr>
                <w:bCs/>
                <w:color w:val="000000"/>
                <w:kern w:val="0"/>
                <w:sz w:val="24"/>
              </w:rPr>
            </w:pPr>
            <w:r>
              <w:rPr>
                <w:rFonts w:hint="eastAsia"/>
                <w:bCs/>
                <w:color w:val="000000"/>
                <w:kern w:val="0"/>
                <w:sz w:val="24"/>
              </w:rPr>
              <w:t>有校外到账经费的各类课题，可及时发放。</w:t>
            </w:r>
          </w:p>
        </w:tc>
        <w:tc>
          <w:tcPr>
            <w:tcW w:w="1913" w:type="dxa"/>
            <w:tcBorders>
              <w:left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hAnsi="宋体"/>
                <w:bCs/>
                <w:color w:val="000000"/>
                <w:kern w:val="0"/>
                <w:sz w:val="24"/>
              </w:rPr>
            </w:pPr>
            <w:r>
              <w:rPr>
                <w:rFonts w:hint="eastAsia" w:hAnsi="宋体"/>
                <w:bCs/>
                <w:color w:val="000000"/>
                <w:kern w:val="0"/>
                <w:sz w:val="24"/>
              </w:rPr>
              <w:t>项目负责人、项目主管部门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0" w:hRule="atLeast"/>
          <w:jc w:val="center"/>
        </w:trPr>
        <w:tc>
          <w:tcPr>
            <w:tcW w:w="395" w:type="dxa"/>
            <w:vMerge w:val="restart"/>
            <w:tcBorders>
              <w:top w:val="single" w:color="auto" w:sz="6" w:space="0"/>
              <w:left w:val="single" w:color="auto" w:sz="6" w:space="0"/>
              <w:right w:val="single" w:color="auto" w:sz="6" w:space="0"/>
            </w:tcBorders>
            <w:vAlign w:val="center"/>
          </w:tcPr>
          <w:p>
            <w:pPr>
              <w:widowControl/>
              <w:adjustRightInd w:val="0"/>
              <w:snapToGrid w:val="0"/>
              <w:jc w:val="center"/>
              <w:rPr>
                <w:rFonts w:hAnsi="宋体"/>
                <w:color w:val="000000"/>
                <w:kern w:val="0"/>
                <w:sz w:val="24"/>
              </w:rPr>
            </w:pPr>
            <w:r>
              <w:rPr>
                <w:rFonts w:hAnsi="宋体"/>
                <w:color w:val="000000"/>
                <w:kern w:val="0"/>
                <w:sz w:val="24"/>
              </w:rPr>
              <w:t>评审类</w:t>
            </w:r>
          </w:p>
        </w:tc>
        <w:tc>
          <w:tcPr>
            <w:tcW w:w="1978" w:type="dxa"/>
            <w:vMerge w:val="restart"/>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ind w:firstLine="480" w:firstLineChars="200"/>
              <w:jc w:val="left"/>
              <w:rPr>
                <w:color w:val="000000"/>
                <w:kern w:val="0"/>
                <w:sz w:val="24"/>
              </w:rPr>
            </w:pPr>
            <w:r>
              <w:rPr>
                <w:rFonts w:hint="eastAsia"/>
                <w:color w:val="000000"/>
                <w:kern w:val="0"/>
                <w:sz w:val="24"/>
              </w:rPr>
              <w:t>评审</w:t>
            </w:r>
          </w:p>
          <w:p>
            <w:pPr>
              <w:widowControl/>
              <w:adjustRightInd w:val="0"/>
              <w:snapToGrid w:val="0"/>
              <w:ind w:firstLine="480" w:firstLineChars="200"/>
              <w:jc w:val="left"/>
              <w:rPr>
                <w:color w:val="000000"/>
                <w:kern w:val="0"/>
                <w:sz w:val="24"/>
              </w:rPr>
            </w:pPr>
            <w:r>
              <w:rPr>
                <w:rFonts w:hint="eastAsia"/>
                <w:color w:val="000000"/>
                <w:kern w:val="0"/>
                <w:sz w:val="24"/>
              </w:rPr>
              <w:t>面试</w:t>
            </w:r>
          </w:p>
          <w:p>
            <w:pPr>
              <w:widowControl/>
              <w:adjustRightInd w:val="0"/>
              <w:snapToGrid w:val="0"/>
              <w:ind w:firstLine="480" w:firstLineChars="200"/>
              <w:jc w:val="left"/>
              <w:rPr>
                <w:color w:val="000000"/>
                <w:kern w:val="0"/>
                <w:sz w:val="24"/>
              </w:rPr>
            </w:pPr>
            <w:r>
              <w:rPr>
                <w:rFonts w:hint="eastAsia"/>
                <w:color w:val="000000"/>
                <w:kern w:val="0"/>
                <w:sz w:val="24"/>
              </w:rPr>
              <w:t>论证</w:t>
            </w:r>
          </w:p>
          <w:p>
            <w:pPr>
              <w:widowControl/>
              <w:adjustRightInd w:val="0"/>
              <w:snapToGrid w:val="0"/>
              <w:ind w:firstLine="480" w:firstLineChars="200"/>
              <w:jc w:val="left"/>
              <w:rPr>
                <w:color w:val="000000"/>
                <w:kern w:val="0"/>
                <w:sz w:val="24"/>
              </w:rPr>
            </w:pPr>
            <w:r>
              <w:rPr>
                <w:rFonts w:hint="eastAsia"/>
                <w:color w:val="000000"/>
                <w:kern w:val="0"/>
                <w:sz w:val="24"/>
              </w:rPr>
              <w:t>咨询</w:t>
            </w:r>
          </w:p>
        </w:tc>
        <w:tc>
          <w:tcPr>
            <w:tcW w:w="4341" w:type="dxa"/>
            <w:vMerge w:val="restart"/>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ascii="宋体" w:hAnsi="宋体"/>
                <w:color w:val="000000"/>
                <w:sz w:val="24"/>
              </w:rPr>
            </w:pPr>
            <w:r>
              <w:rPr>
                <w:rFonts w:hint="eastAsia" w:ascii="宋体" w:hAnsi="宋体"/>
                <w:color w:val="000000"/>
                <w:sz w:val="24"/>
              </w:rPr>
              <w:t>（1）院士、国家级重要人才平台入选者：不超过 2000元/半天；</w:t>
            </w:r>
          </w:p>
          <w:p>
            <w:pPr>
              <w:widowControl/>
              <w:adjustRightInd w:val="0"/>
              <w:snapToGrid w:val="0"/>
              <w:rPr>
                <w:rFonts w:ascii="宋体" w:hAnsi="宋体"/>
                <w:color w:val="000000"/>
                <w:sz w:val="24"/>
              </w:rPr>
            </w:pPr>
            <w:r>
              <w:rPr>
                <w:rFonts w:hint="eastAsia" w:ascii="宋体" w:hAnsi="宋体"/>
                <w:color w:val="000000"/>
                <w:sz w:val="24"/>
              </w:rPr>
              <w:t>（2）博导、省级重要人才平台入选者：不超过1500元/半天；</w:t>
            </w:r>
          </w:p>
          <w:p>
            <w:pPr>
              <w:widowControl/>
              <w:adjustRightInd w:val="0"/>
              <w:snapToGrid w:val="0"/>
              <w:rPr>
                <w:rFonts w:ascii="宋体" w:hAnsi="宋体"/>
                <w:color w:val="000000"/>
                <w:sz w:val="24"/>
              </w:rPr>
            </w:pPr>
            <w:r>
              <w:rPr>
                <w:rFonts w:hint="eastAsia" w:ascii="宋体" w:hAnsi="宋体"/>
                <w:color w:val="000000"/>
                <w:sz w:val="24"/>
              </w:rPr>
              <w:t>（3）正高（正处）、行业企业知名高管：不超过1000元/半天；</w:t>
            </w:r>
          </w:p>
          <w:p>
            <w:pPr>
              <w:widowControl/>
              <w:adjustRightInd w:val="0"/>
              <w:snapToGrid w:val="0"/>
              <w:rPr>
                <w:rFonts w:ascii="宋体" w:hAnsi="宋体"/>
                <w:color w:val="000000"/>
                <w:sz w:val="24"/>
              </w:rPr>
            </w:pPr>
            <w:r>
              <w:rPr>
                <w:rFonts w:hint="eastAsia" w:ascii="宋体" w:hAnsi="宋体"/>
                <w:color w:val="000000"/>
                <w:sz w:val="24"/>
              </w:rPr>
              <w:t>（4）副高（副处）、博士及行业企业高管或高级技术人员：不超过800元/半天；</w:t>
            </w:r>
          </w:p>
          <w:p>
            <w:pPr>
              <w:widowControl/>
              <w:adjustRightInd w:val="0"/>
              <w:snapToGrid w:val="0"/>
              <w:rPr>
                <w:rFonts w:ascii="宋体" w:hAnsi="宋体"/>
                <w:color w:val="000000"/>
                <w:sz w:val="24"/>
              </w:rPr>
            </w:pPr>
            <w:r>
              <w:rPr>
                <w:rFonts w:hint="eastAsia" w:ascii="宋体" w:hAnsi="宋体"/>
                <w:color w:val="000000"/>
                <w:sz w:val="24"/>
              </w:rPr>
              <w:t>（5）其他人员：不超过600元/半天；</w:t>
            </w:r>
          </w:p>
          <w:p>
            <w:pPr>
              <w:widowControl/>
              <w:adjustRightInd w:val="0"/>
              <w:snapToGrid w:val="0"/>
              <w:rPr>
                <w:rFonts w:ascii="宋体" w:hAnsi="宋体"/>
                <w:color w:val="000000"/>
                <w:sz w:val="24"/>
              </w:rPr>
            </w:pPr>
            <w:r>
              <w:rPr>
                <w:rFonts w:hint="eastAsia" w:ascii="宋体" w:hAnsi="宋体"/>
                <w:color w:val="000000"/>
                <w:sz w:val="24"/>
              </w:rPr>
              <w:t>（6）如有特殊情况超出标准的须经学校主要领导审批。</w:t>
            </w:r>
          </w:p>
          <w:p>
            <w:pPr>
              <w:widowControl/>
              <w:adjustRightInd w:val="0"/>
              <w:snapToGrid w:val="0"/>
              <w:rPr>
                <w:rFonts w:ascii="宋体" w:hAnsi="宋体"/>
                <w:color w:val="000000"/>
                <w:sz w:val="24"/>
              </w:rPr>
            </w:pPr>
            <w:r>
              <w:rPr>
                <w:rFonts w:hint="eastAsia" w:ascii="宋体" w:hAnsi="宋体"/>
                <w:color w:val="000000"/>
                <w:sz w:val="24"/>
              </w:rPr>
              <w:t>通讯咨询：按不超过会议咨询标准的50%执行。</w:t>
            </w:r>
          </w:p>
          <w:p>
            <w:pPr>
              <w:widowControl/>
              <w:adjustRightInd w:val="0"/>
              <w:snapToGrid w:val="0"/>
              <w:rPr>
                <w:rFonts w:ascii="宋体" w:hAnsi="宋体"/>
                <w:color w:val="000000"/>
                <w:sz w:val="24"/>
              </w:rPr>
            </w:pPr>
            <w:r>
              <w:rPr>
                <w:rFonts w:hint="eastAsia" w:ascii="宋体" w:hAnsi="宋体"/>
                <w:color w:val="000000"/>
                <w:sz w:val="24"/>
              </w:rPr>
              <w:t>（参照《中央财政科研项目专家咨询费管理办法》(财科教[2017]128号)制定）</w:t>
            </w:r>
          </w:p>
          <w:p>
            <w:pPr>
              <w:widowControl/>
              <w:adjustRightInd w:val="0"/>
              <w:snapToGrid w:val="0"/>
              <w:rPr>
                <w:rFonts w:hAnsi="宋体"/>
                <w:color w:val="000000"/>
                <w:sz w:val="24"/>
              </w:rPr>
            </w:pPr>
          </w:p>
        </w:tc>
        <w:tc>
          <w:tcPr>
            <w:tcW w:w="3627"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sz w:val="24"/>
              </w:rPr>
            </w:pPr>
            <w:r>
              <w:rPr>
                <w:rFonts w:hint="eastAsia" w:hAnsi="宋体"/>
                <w:color w:val="000000"/>
                <w:sz w:val="24"/>
              </w:rPr>
              <w:t>（1）经学校批准的各类评审活动，不超过1.5个标准工作量/半天；</w:t>
            </w:r>
          </w:p>
          <w:p>
            <w:pPr>
              <w:widowControl/>
              <w:adjustRightInd w:val="0"/>
              <w:snapToGrid w:val="0"/>
              <w:rPr>
                <w:color w:val="000000"/>
                <w:kern w:val="0"/>
                <w:sz w:val="24"/>
              </w:rPr>
            </w:pPr>
            <w:r>
              <w:rPr>
                <w:rFonts w:hint="eastAsia" w:hAnsi="宋体"/>
                <w:color w:val="000000"/>
                <w:sz w:val="24"/>
              </w:rPr>
              <w:t>（2）正高（正处）、副高（博士或副处）、其他人员分别按照2.0、1.5、1.0乘以职称系数；</w:t>
            </w:r>
          </w:p>
        </w:tc>
        <w:tc>
          <w:tcPr>
            <w:tcW w:w="1865"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color w:val="000000"/>
                <w:kern w:val="0"/>
                <w:sz w:val="24"/>
              </w:rPr>
            </w:pPr>
            <w:r>
              <w:rPr>
                <w:rFonts w:hint="eastAsia" w:hAnsi="宋体"/>
                <w:color w:val="000000"/>
                <w:kern w:val="0"/>
                <w:sz w:val="24"/>
              </w:rPr>
              <w:t>无校外经费来源且发放对象为校内人员的，纳入绩效管理。</w:t>
            </w:r>
          </w:p>
        </w:tc>
        <w:tc>
          <w:tcPr>
            <w:tcW w:w="1913"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color w:val="000000"/>
                <w:kern w:val="0"/>
                <w:sz w:val="24"/>
              </w:rPr>
            </w:pPr>
            <w:r>
              <w:rPr>
                <w:rFonts w:hint="eastAsia"/>
                <w:bCs/>
                <w:color w:val="000000"/>
                <w:kern w:val="0"/>
                <w:sz w:val="24"/>
              </w:rPr>
              <w:t>项目主管部门、分管校领导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3" w:hRule="atLeast"/>
          <w:jc w:val="center"/>
        </w:trPr>
        <w:tc>
          <w:tcPr>
            <w:tcW w:w="395" w:type="dxa"/>
            <w:vMerge w:val="continue"/>
            <w:tcBorders>
              <w:left w:val="single" w:color="auto" w:sz="6" w:space="0"/>
              <w:right w:val="single" w:color="auto" w:sz="6" w:space="0"/>
            </w:tcBorders>
            <w:vAlign w:val="center"/>
          </w:tcPr>
          <w:p>
            <w:pPr>
              <w:widowControl/>
              <w:adjustRightInd w:val="0"/>
              <w:snapToGrid w:val="0"/>
              <w:jc w:val="center"/>
              <w:rPr>
                <w:rFonts w:hAnsi="宋体"/>
                <w:color w:val="000000"/>
                <w:kern w:val="0"/>
                <w:sz w:val="24"/>
              </w:rPr>
            </w:pPr>
          </w:p>
        </w:tc>
        <w:tc>
          <w:tcPr>
            <w:tcW w:w="1978" w:type="dxa"/>
            <w:vMerge w:val="continue"/>
            <w:tcBorders>
              <w:left w:val="single" w:color="auto" w:sz="6" w:space="0"/>
              <w:right w:val="single" w:color="auto" w:sz="6" w:space="0"/>
            </w:tcBorders>
            <w:tcMar>
              <w:top w:w="0" w:type="dxa"/>
              <w:left w:w="108" w:type="dxa"/>
              <w:bottom w:w="0" w:type="dxa"/>
              <w:right w:w="108" w:type="dxa"/>
            </w:tcMar>
            <w:vAlign w:val="center"/>
          </w:tcPr>
          <w:p>
            <w:pPr>
              <w:widowControl/>
              <w:adjustRightInd w:val="0"/>
              <w:snapToGrid w:val="0"/>
              <w:ind w:firstLine="480" w:firstLineChars="200"/>
              <w:jc w:val="left"/>
              <w:rPr>
                <w:color w:val="000000"/>
                <w:kern w:val="0"/>
                <w:sz w:val="24"/>
              </w:rPr>
            </w:pPr>
          </w:p>
        </w:tc>
        <w:tc>
          <w:tcPr>
            <w:tcW w:w="4341" w:type="dxa"/>
            <w:vMerge w:val="continue"/>
            <w:tcBorders>
              <w:left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sz w:val="24"/>
              </w:rPr>
            </w:pPr>
          </w:p>
        </w:tc>
        <w:tc>
          <w:tcPr>
            <w:tcW w:w="3627" w:type="dxa"/>
            <w:tcBorders>
              <w:top w:val="single" w:color="auto" w:sz="4"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sz w:val="24"/>
              </w:rPr>
            </w:pPr>
            <w:r>
              <w:rPr>
                <w:rFonts w:hint="eastAsia" w:hAnsi="宋体"/>
                <w:color w:val="000000"/>
                <w:sz w:val="24"/>
              </w:rPr>
              <w:t>（3）二级单位自行组织的：参照校内标准（1）、（2）执行；</w:t>
            </w:r>
          </w:p>
        </w:tc>
        <w:tc>
          <w:tcPr>
            <w:tcW w:w="1865" w:type="dxa"/>
            <w:tcBorders>
              <w:top w:val="single" w:color="auto" w:sz="4"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bCs/>
                <w:color w:val="000000"/>
                <w:kern w:val="0"/>
                <w:sz w:val="24"/>
              </w:rPr>
            </w:pPr>
            <w:r>
              <w:rPr>
                <w:rFonts w:hint="eastAsia"/>
                <w:bCs/>
                <w:color w:val="000000"/>
                <w:kern w:val="0"/>
                <w:sz w:val="24"/>
              </w:rPr>
              <w:t>由二级单位在年终切块经费中解决。</w:t>
            </w:r>
          </w:p>
        </w:tc>
        <w:tc>
          <w:tcPr>
            <w:tcW w:w="1913" w:type="dxa"/>
            <w:tcBorders>
              <w:top w:val="single" w:color="auto" w:sz="4"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left"/>
              <w:rPr>
                <w:bCs/>
                <w:color w:val="000000"/>
                <w:kern w:val="0"/>
                <w:sz w:val="24"/>
              </w:rPr>
            </w:pPr>
            <w:r>
              <w:rPr>
                <w:rFonts w:hint="eastAsia" w:hAnsi="宋体"/>
                <w:bCs/>
                <w:color w:val="000000"/>
                <w:kern w:val="0"/>
                <w:sz w:val="24"/>
              </w:rPr>
              <w:t>二级单位</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395" w:type="dxa"/>
            <w:vMerge w:val="continue"/>
            <w:tcBorders>
              <w:left w:val="single" w:color="auto" w:sz="6" w:space="0"/>
              <w:right w:val="single" w:color="auto" w:sz="6" w:space="0"/>
            </w:tcBorders>
            <w:vAlign w:val="center"/>
          </w:tcPr>
          <w:p>
            <w:pPr>
              <w:widowControl/>
              <w:adjustRightInd w:val="0"/>
              <w:snapToGrid w:val="0"/>
              <w:jc w:val="center"/>
              <w:rPr>
                <w:rFonts w:hAnsi="宋体"/>
                <w:color w:val="000000"/>
                <w:kern w:val="0"/>
                <w:sz w:val="24"/>
              </w:rPr>
            </w:pPr>
          </w:p>
        </w:tc>
        <w:tc>
          <w:tcPr>
            <w:tcW w:w="1978" w:type="dxa"/>
            <w:vMerge w:val="continue"/>
            <w:tcBorders>
              <w:left w:val="single" w:color="auto" w:sz="6" w:space="0"/>
              <w:right w:val="single" w:color="auto" w:sz="6" w:space="0"/>
            </w:tcBorders>
            <w:tcMar>
              <w:top w:w="0" w:type="dxa"/>
              <w:left w:w="108" w:type="dxa"/>
              <w:bottom w:w="0" w:type="dxa"/>
              <w:right w:w="108" w:type="dxa"/>
            </w:tcMar>
            <w:vAlign w:val="center"/>
          </w:tcPr>
          <w:p>
            <w:pPr>
              <w:widowControl/>
              <w:adjustRightInd w:val="0"/>
              <w:snapToGrid w:val="0"/>
              <w:ind w:firstLine="480" w:firstLineChars="200"/>
              <w:jc w:val="left"/>
              <w:rPr>
                <w:color w:val="000000"/>
                <w:kern w:val="0"/>
                <w:sz w:val="24"/>
              </w:rPr>
            </w:pPr>
          </w:p>
        </w:tc>
        <w:tc>
          <w:tcPr>
            <w:tcW w:w="4341" w:type="dxa"/>
            <w:vMerge w:val="continue"/>
            <w:tcBorders>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sz w:val="24"/>
              </w:rPr>
            </w:pPr>
          </w:p>
        </w:tc>
        <w:tc>
          <w:tcPr>
            <w:tcW w:w="3627" w:type="dxa"/>
            <w:tcBorders>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sz w:val="24"/>
              </w:rPr>
            </w:pPr>
            <w:r>
              <w:rPr>
                <w:rFonts w:hint="eastAsia" w:hAnsi="宋体"/>
                <w:color w:val="000000"/>
                <w:sz w:val="24"/>
              </w:rPr>
              <w:t>（4）有工资收入的课题组成员不得发放，其他人员参照校外标准乘以0.3执行。</w:t>
            </w:r>
          </w:p>
        </w:tc>
        <w:tc>
          <w:tcPr>
            <w:tcW w:w="1865" w:type="dxa"/>
            <w:tcBorders>
              <w:top w:val="single" w:color="auto" w:sz="4"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kern w:val="0"/>
                <w:sz w:val="24"/>
              </w:rPr>
            </w:pPr>
            <w:r>
              <w:rPr>
                <w:rFonts w:hint="eastAsia"/>
                <w:bCs/>
                <w:color w:val="000000"/>
                <w:kern w:val="0"/>
                <w:sz w:val="24"/>
              </w:rPr>
              <w:t>有校外到账经费的各类课题，可及时发放。</w:t>
            </w:r>
          </w:p>
        </w:tc>
        <w:tc>
          <w:tcPr>
            <w:tcW w:w="1913" w:type="dxa"/>
            <w:tcBorders>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kern w:val="0"/>
                <w:sz w:val="24"/>
              </w:rPr>
            </w:pPr>
            <w:r>
              <w:rPr>
                <w:rFonts w:hint="eastAsia" w:hAnsi="宋体"/>
                <w:bCs/>
                <w:color w:val="000000"/>
                <w:kern w:val="0"/>
                <w:sz w:val="24"/>
              </w:rPr>
              <w:t>项目负责人、项目主管部门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5" w:hRule="atLeast"/>
          <w:jc w:val="center"/>
        </w:trPr>
        <w:tc>
          <w:tcPr>
            <w:tcW w:w="395" w:type="dxa"/>
            <w:vMerge w:val="continue"/>
            <w:tcBorders>
              <w:left w:val="single" w:color="auto" w:sz="6" w:space="0"/>
              <w:right w:val="single" w:color="auto" w:sz="6" w:space="0"/>
            </w:tcBorders>
          </w:tcPr>
          <w:p>
            <w:pPr>
              <w:widowControl/>
              <w:adjustRightInd w:val="0"/>
              <w:snapToGrid w:val="0"/>
              <w:jc w:val="center"/>
              <w:rPr>
                <w:rFonts w:hAnsi="宋体"/>
                <w:color w:val="000000"/>
                <w:kern w:val="0"/>
                <w:sz w:val="24"/>
              </w:rPr>
            </w:pPr>
          </w:p>
        </w:tc>
        <w:tc>
          <w:tcPr>
            <w:tcW w:w="1978" w:type="dxa"/>
            <w:vMerge w:val="restart"/>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left"/>
              <w:rPr>
                <w:rFonts w:ascii="宋体" w:hAnsi="宋体"/>
                <w:color w:val="000000"/>
                <w:kern w:val="0"/>
                <w:sz w:val="24"/>
              </w:rPr>
            </w:pPr>
            <w:r>
              <w:rPr>
                <w:rFonts w:hAnsi="宋体"/>
                <w:color w:val="000000"/>
                <w:kern w:val="0"/>
                <w:sz w:val="24"/>
              </w:rPr>
              <w:t>各类招标</w:t>
            </w:r>
            <w:r>
              <w:rPr>
                <w:rFonts w:hint="eastAsia" w:hAnsi="宋体"/>
                <w:color w:val="000000"/>
                <w:kern w:val="0"/>
                <w:sz w:val="24"/>
              </w:rPr>
              <w:t>评审费等</w:t>
            </w:r>
            <w:r>
              <w:rPr>
                <w:rFonts w:hAnsi="宋体"/>
                <w:color w:val="000000"/>
                <w:kern w:val="0"/>
                <w:sz w:val="24"/>
              </w:rPr>
              <w:t>（含物资、工程、维修采购）</w:t>
            </w:r>
          </w:p>
        </w:tc>
        <w:tc>
          <w:tcPr>
            <w:tcW w:w="4341" w:type="dxa"/>
            <w:vMerge w:val="restart"/>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numPr>
                <w:ilvl w:val="0"/>
                <w:numId w:val="1"/>
              </w:numPr>
              <w:adjustRightInd w:val="0"/>
              <w:snapToGrid w:val="0"/>
              <w:jc w:val="left"/>
              <w:rPr>
                <w:rFonts w:hAnsi="宋体"/>
                <w:color w:val="000000"/>
                <w:kern w:val="0"/>
                <w:sz w:val="24"/>
              </w:rPr>
            </w:pPr>
            <w:r>
              <w:rPr>
                <w:rFonts w:hint="eastAsia" w:hAnsi="宋体"/>
                <w:color w:val="000000"/>
                <w:kern w:val="0"/>
                <w:sz w:val="24"/>
              </w:rPr>
              <w:t>评标评审时间在3小时及以内，资深专家每人500元、非资深专家每人300</w:t>
            </w:r>
            <w:r>
              <w:rPr>
                <w:rFonts w:hAnsi="宋体"/>
                <w:color w:val="000000"/>
                <w:kern w:val="0"/>
                <w:sz w:val="24"/>
              </w:rPr>
              <w:t>元；3小时以上部分，每小时每人增加100元；8小时以上部分，每小时每人增加150元</w:t>
            </w:r>
            <w:r>
              <w:rPr>
                <w:rFonts w:hint="eastAsia" w:hAnsi="宋体"/>
                <w:color w:val="000000"/>
                <w:kern w:val="0"/>
                <w:sz w:val="24"/>
              </w:rPr>
              <w:t>；</w:t>
            </w:r>
          </w:p>
          <w:p>
            <w:pPr>
              <w:widowControl/>
              <w:numPr>
                <w:ilvl w:val="0"/>
                <w:numId w:val="1"/>
              </w:numPr>
              <w:adjustRightInd w:val="0"/>
              <w:snapToGrid w:val="0"/>
              <w:jc w:val="left"/>
              <w:rPr>
                <w:rFonts w:hAnsi="宋体"/>
                <w:color w:val="000000"/>
                <w:kern w:val="0"/>
                <w:sz w:val="24"/>
              </w:rPr>
            </w:pPr>
            <w:r>
              <w:rPr>
                <w:rFonts w:hAnsi="宋体"/>
                <w:color w:val="000000"/>
                <w:kern w:val="0"/>
                <w:sz w:val="24"/>
              </w:rPr>
              <w:t>担任评标评审委员会负责人的</w:t>
            </w:r>
            <w:r>
              <w:rPr>
                <w:rFonts w:hint="eastAsia" w:hAnsi="宋体"/>
                <w:color w:val="000000"/>
                <w:kern w:val="0"/>
                <w:sz w:val="24"/>
              </w:rPr>
              <w:t>，</w:t>
            </w:r>
            <w:r>
              <w:rPr>
                <w:rFonts w:hAnsi="宋体"/>
                <w:color w:val="000000"/>
                <w:kern w:val="0"/>
                <w:sz w:val="24"/>
              </w:rPr>
              <w:t>每人每次增加100元</w:t>
            </w:r>
            <w:r>
              <w:rPr>
                <w:rFonts w:hint="eastAsia" w:hAnsi="宋体"/>
                <w:color w:val="000000"/>
                <w:kern w:val="0"/>
                <w:sz w:val="24"/>
              </w:rPr>
              <w:t>；</w:t>
            </w:r>
          </w:p>
          <w:p>
            <w:pPr>
              <w:widowControl/>
              <w:numPr>
                <w:ilvl w:val="0"/>
                <w:numId w:val="1"/>
              </w:numPr>
              <w:adjustRightInd w:val="0"/>
              <w:snapToGrid w:val="0"/>
              <w:jc w:val="left"/>
              <w:rPr>
                <w:rFonts w:hAnsi="宋体"/>
                <w:color w:val="000000"/>
                <w:kern w:val="0"/>
                <w:sz w:val="24"/>
              </w:rPr>
            </w:pPr>
            <w:r>
              <w:rPr>
                <w:rFonts w:hAnsi="宋体"/>
                <w:color w:val="000000"/>
                <w:kern w:val="0"/>
                <w:sz w:val="24"/>
              </w:rPr>
              <w:t>开标即宣布招标失败或专家依法需要回避的，每人200元</w:t>
            </w:r>
            <w:r>
              <w:rPr>
                <w:rFonts w:hint="eastAsia" w:hAnsi="宋体"/>
                <w:color w:val="000000"/>
                <w:kern w:val="0"/>
                <w:sz w:val="24"/>
              </w:rPr>
              <w:t>。</w:t>
            </w:r>
          </w:p>
          <w:p>
            <w:pPr>
              <w:widowControl/>
              <w:numPr>
                <w:ilvl w:val="0"/>
                <w:numId w:val="1"/>
              </w:numPr>
              <w:adjustRightInd w:val="0"/>
              <w:snapToGrid w:val="0"/>
              <w:jc w:val="left"/>
              <w:rPr>
                <w:rFonts w:hAnsi="宋体"/>
                <w:color w:val="000000"/>
                <w:kern w:val="0"/>
                <w:sz w:val="24"/>
              </w:rPr>
            </w:pPr>
            <w:r>
              <w:rPr>
                <w:rFonts w:hAnsi="宋体"/>
                <w:color w:val="000000"/>
                <w:kern w:val="0"/>
                <w:sz w:val="24"/>
              </w:rPr>
              <w:t>交通费标准</w:t>
            </w:r>
            <w:r>
              <w:rPr>
                <w:rFonts w:hint="eastAsia" w:hAnsi="宋体"/>
                <w:color w:val="000000"/>
                <w:kern w:val="0"/>
                <w:sz w:val="24"/>
              </w:rPr>
              <w:t>：</w:t>
            </w:r>
            <w:r>
              <w:rPr>
                <w:rFonts w:hAnsi="宋体"/>
                <w:color w:val="000000"/>
                <w:kern w:val="0"/>
                <w:sz w:val="24"/>
              </w:rPr>
              <w:t>评标评审地点与专家属地同城的，每人80元</w:t>
            </w:r>
            <w:r>
              <w:rPr>
                <w:rFonts w:hint="eastAsia" w:hAnsi="宋体"/>
                <w:color w:val="000000"/>
                <w:kern w:val="0"/>
                <w:sz w:val="24"/>
              </w:rPr>
              <w:t>；</w:t>
            </w:r>
            <w:r>
              <w:rPr>
                <w:rFonts w:hAnsi="宋体"/>
                <w:color w:val="000000"/>
                <w:kern w:val="0"/>
                <w:sz w:val="24"/>
              </w:rPr>
              <w:t>评标评审地点与专家属地非同城的，执行《安徽省省直机关差旅费管理办法》规定的交通工具费用标准。</w:t>
            </w:r>
          </w:p>
          <w:p>
            <w:pPr>
              <w:widowControl/>
              <w:numPr>
                <w:ilvl w:val="0"/>
                <w:numId w:val="1"/>
              </w:numPr>
              <w:adjustRightInd w:val="0"/>
              <w:snapToGrid w:val="0"/>
              <w:jc w:val="left"/>
              <w:rPr>
                <w:rFonts w:hAnsi="宋体"/>
                <w:color w:val="000000"/>
                <w:kern w:val="0"/>
                <w:sz w:val="24"/>
              </w:rPr>
            </w:pPr>
            <w:r>
              <w:rPr>
                <w:rFonts w:hAnsi="宋体"/>
                <w:color w:val="000000"/>
                <w:kern w:val="0"/>
                <w:sz w:val="24"/>
              </w:rPr>
              <w:t>在途补助标准</w:t>
            </w:r>
            <w:r>
              <w:rPr>
                <w:rFonts w:hint="eastAsia" w:hAnsi="宋体"/>
                <w:color w:val="000000"/>
                <w:kern w:val="0"/>
                <w:sz w:val="24"/>
              </w:rPr>
              <w:t>：</w:t>
            </w:r>
            <w:r>
              <w:rPr>
                <w:rFonts w:hAnsi="宋体"/>
                <w:color w:val="000000"/>
                <w:kern w:val="0"/>
                <w:sz w:val="24"/>
              </w:rPr>
              <w:t>评标评审地点与专家属地为同城的，在途补助已包含在评标评审费中。评标评审地点与专家属地为非同城的，在途补助按在途时间计算，每人每小时70元。</w:t>
            </w:r>
          </w:p>
          <w:p>
            <w:pPr>
              <w:widowControl/>
              <w:adjustRightInd w:val="0"/>
              <w:snapToGrid w:val="0"/>
              <w:jc w:val="left"/>
              <w:rPr>
                <w:color w:val="000000"/>
                <w:kern w:val="0"/>
                <w:sz w:val="24"/>
              </w:rPr>
            </w:pPr>
            <w:r>
              <w:rPr>
                <w:rFonts w:hint="eastAsia" w:ascii="宋体" w:hAnsi="宋体"/>
                <w:color w:val="000000"/>
                <w:kern w:val="0"/>
                <w:sz w:val="24"/>
              </w:rPr>
              <w:t>(</w:t>
            </w:r>
            <w:r>
              <w:rPr>
                <w:rFonts w:hint="eastAsia" w:hAnsi="宋体"/>
                <w:color w:val="000000"/>
                <w:kern w:val="0"/>
                <w:sz w:val="24"/>
              </w:rPr>
              <w:t>参照《安徽省发展改革委关于安徽省评标评审专家劳务费支付标准的指导意见》(皖发改公管规[2017]7号)制定)</w:t>
            </w:r>
          </w:p>
        </w:tc>
        <w:tc>
          <w:tcPr>
            <w:tcW w:w="3627"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sz w:val="24"/>
              </w:rPr>
            </w:pPr>
            <w:r>
              <w:rPr>
                <w:rFonts w:hint="eastAsia" w:hAnsi="宋体"/>
                <w:color w:val="000000"/>
                <w:sz w:val="24"/>
              </w:rPr>
              <w:t>（1）不超过1.5个标准工作量/半天；</w:t>
            </w:r>
          </w:p>
          <w:p>
            <w:pPr>
              <w:widowControl/>
              <w:adjustRightInd w:val="0"/>
              <w:snapToGrid w:val="0"/>
              <w:rPr>
                <w:rFonts w:ascii="宋体" w:hAnsi="宋体"/>
                <w:color w:val="000000"/>
                <w:kern w:val="0"/>
                <w:sz w:val="24"/>
              </w:rPr>
            </w:pPr>
            <w:r>
              <w:rPr>
                <w:rFonts w:hint="eastAsia" w:hAnsi="宋体"/>
                <w:color w:val="000000"/>
                <w:sz w:val="24"/>
              </w:rPr>
              <w:t>（2）正高（正处）、副高（博士或副处）、其他人员分别按照2.0、1.5、1.0乘以职称系数；</w:t>
            </w:r>
          </w:p>
        </w:tc>
        <w:tc>
          <w:tcPr>
            <w:tcW w:w="1865"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r>
              <w:rPr>
                <w:rFonts w:hint="eastAsia" w:hAnsi="宋体"/>
                <w:color w:val="000000"/>
                <w:kern w:val="0"/>
                <w:sz w:val="24"/>
              </w:rPr>
              <w:t>无校外经费来源的招标评审，校内人员纳入绩效管理。</w:t>
            </w:r>
          </w:p>
          <w:p>
            <w:pPr>
              <w:widowControl/>
              <w:adjustRightInd w:val="0"/>
              <w:snapToGrid w:val="0"/>
              <w:jc w:val="left"/>
              <w:rPr>
                <w:rFonts w:hAnsi="宋体"/>
                <w:color w:val="000000"/>
                <w:kern w:val="0"/>
                <w:sz w:val="24"/>
              </w:rPr>
            </w:pPr>
          </w:p>
        </w:tc>
        <w:tc>
          <w:tcPr>
            <w:tcW w:w="1913"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center"/>
              <w:rPr>
                <w:color w:val="000000"/>
                <w:kern w:val="0"/>
                <w:sz w:val="24"/>
              </w:rPr>
            </w:pPr>
            <w:r>
              <w:rPr>
                <w:rFonts w:hint="eastAsia" w:hAnsi="宋体"/>
                <w:color w:val="000000"/>
                <w:kern w:val="0"/>
                <w:sz w:val="24"/>
              </w:rPr>
              <w:t>项目主管部门、分管校领导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4" w:hRule="atLeast"/>
          <w:jc w:val="center"/>
        </w:trPr>
        <w:tc>
          <w:tcPr>
            <w:tcW w:w="395" w:type="dxa"/>
            <w:vMerge w:val="continue"/>
            <w:tcBorders>
              <w:left w:val="single" w:color="auto" w:sz="6" w:space="0"/>
              <w:right w:val="single" w:color="auto" w:sz="6" w:space="0"/>
            </w:tcBorders>
          </w:tcPr>
          <w:p>
            <w:pPr>
              <w:widowControl/>
              <w:adjustRightInd w:val="0"/>
              <w:snapToGrid w:val="0"/>
              <w:jc w:val="center"/>
              <w:rPr>
                <w:rFonts w:hAnsi="宋体"/>
                <w:color w:val="000000"/>
                <w:kern w:val="0"/>
                <w:sz w:val="24"/>
              </w:rPr>
            </w:pPr>
          </w:p>
        </w:tc>
        <w:tc>
          <w:tcPr>
            <w:tcW w:w="1978" w:type="dxa"/>
            <w:vMerge w:val="continue"/>
            <w:tcBorders>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p>
        </w:tc>
        <w:tc>
          <w:tcPr>
            <w:tcW w:w="4341" w:type="dxa"/>
            <w:vMerge w:val="continue"/>
            <w:tcBorders>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left"/>
              <w:rPr>
                <w:rFonts w:ascii="宋体" w:hAnsi="宋体"/>
                <w:color w:val="000000"/>
                <w:kern w:val="0"/>
                <w:sz w:val="24"/>
              </w:rPr>
            </w:pPr>
          </w:p>
        </w:tc>
        <w:tc>
          <w:tcPr>
            <w:tcW w:w="3627"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sz w:val="24"/>
              </w:rPr>
            </w:pPr>
            <w:r>
              <w:rPr>
                <w:rFonts w:hint="eastAsia" w:hAnsi="宋体"/>
                <w:color w:val="000000"/>
                <w:sz w:val="24"/>
              </w:rPr>
              <w:t>参照校外标准执行。</w:t>
            </w:r>
          </w:p>
        </w:tc>
        <w:tc>
          <w:tcPr>
            <w:tcW w:w="1865"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r>
              <w:rPr>
                <w:rFonts w:hint="eastAsia" w:hAnsi="宋体"/>
                <w:color w:val="000000"/>
                <w:kern w:val="0"/>
                <w:sz w:val="24"/>
              </w:rPr>
              <w:t>校外专项经费，可及时发放。</w:t>
            </w:r>
          </w:p>
          <w:p>
            <w:pPr>
              <w:widowControl/>
              <w:adjustRightInd w:val="0"/>
              <w:snapToGrid w:val="0"/>
              <w:jc w:val="left"/>
              <w:rPr>
                <w:rFonts w:hAnsi="宋体"/>
                <w:color w:val="000000"/>
                <w:kern w:val="0"/>
                <w:sz w:val="24"/>
              </w:rPr>
            </w:pPr>
          </w:p>
        </w:tc>
        <w:tc>
          <w:tcPr>
            <w:tcW w:w="1913"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center"/>
              <w:rPr>
                <w:rFonts w:hAnsi="宋体"/>
                <w:color w:val="000000"/>
                <w:kern w:val="0"/>
                <w:sz w:val="24"/>
              </w:rPr>
            </w:pPr>
            <w:r>
              <w:rPr>
                <w:rFonts w:hint="eastAsia" w:hAnsi="宋体"/>
                <w:color w:val="000000"/>
                <w:kern w:val="0"/>
                <w:sz w:val="24"/>
              </w:rPr>
              <w:t>项目主管部门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25" w:hRule="atLeast"/>
          <w:jc w:val="center"/>
        </w:trPr>
        <w:tc>
          <w:tcPr>
            <w:tcW w:w="395" w:type="dxa"/>
            <w:vMerge w:val="restart"/>
            <w:tcBorders>
              <w:left w:val="single" w:color="auto" w:sz="6" w:space="0"/>
              <w:right w:val="single" w:color="auto" w:sz="6" w:space="0"/>
            </w:tcBorders>
            <w:vAlign w:val="center"/>
          </w:tcPr>
          <w:p>
            <w:pPr>
              <w:widowControl/>
              <w:adjustRightInd w:val="0"/>
              <w:snapToGrid w:val="0"/>
              <w:jc w:val="center"/>
              <w:rPr>
                <w:rFonts w:hAnsi="宋体"/>
                <w:color w:val="000000"/>
                <w:kern w:val="0"/>
                <w:sz w:val="24"/>
              </w:rPr>
            </w:pPr>
            <w:r>
              <w:rPr>
                <w:rFonts w:hint="eastAsia" w:hAnsi="宋体"/>
                <w:color w:val="000000"/>
                <w:kern w:val="0"/>
                <w:sz w:val="24"/>
              </w:rPr>
              <w:t>审稿类</w:t>
            </w:r>
          </w:p>
        </w:tc>
        <w:tc>
          <w:tcPr>
            <w:tcW w:w="1978" w:type="dxa"/>
            <w:vMerge w:val="restart"/>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r>
              <w:rPr>
                <w:rFonts w:hint="eastAsia" w:hAnsi="宋体"/>
                <w:color w:val="000000"/>
                <w:kern w:val="0"/>
                <w:sz w:val="24"/>
              </w:rPr>
              <w:t>学术性刊物审稿</w:t>
            </w:r>
          </w:p>
        </w:tc>
        <w:tc>
          <w:tcPr>
            <w:tcW w:w="4341" w:type="dxa"/>
            <w:vMerge w:val="restart"/>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left"/>
              <w:rPr>
                <w:rFonts w:ascii="宋体" w:hAnsi="宋体"/>
                <w:color w:val="000000"/>
                <w:kern w:val="0"/>
                <w:sz w:val="24"/>
              </w:rPr>
            </w:pPr>
            <w:r>
              <w:rPr>
                <w:rFonts w:hint="eastAsia" w:ascii="宋体" w:hAnsi="宋体"/>
                <w:color w:val="000000"/>
                <w:kern w:val="0"/>
                <w:sz w:val="24"/>
              </w:rPr>
              <w:t>按照《淮南师范学院学报编辑部出版经费收支标准（试行）》（校科研[2018]2号）执行。（参照教育部办公厅《高等学校学报管理办法》(教备厅[1998]3号)、国家版权局及国家发展和改革委员会《使用文字作品支付报酬办法》（2014年[第11号]令），国家新闻出版广电总局《关于加强新闻出版中央财政资金项目支付个人报酬事项管理的通知》（新广出发[2015]20号）等制定）</w:t>
            </w:r>
          </w:p>
        </w:tc>
        <w:tc>
          <w:tcPr>
            <w:tcW w:w="3627"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numPr>
                <w:ilvl w:val="0"/>
                <w:numId w:val="2"/>
              </w:numPr>
              <w:adjustRightInd w:val="0"/>
              <w:snapToGrid w:val="0"/>
              <w:jc w:val="left"/>
              <w:rPr>
                <w:rFonts w:ascii="宋体" w:hAnsi="宋体"/>
                <w:color w:val="000000"/>
                <w:kern w:val="0"/>
                <w:sz w:val="24"/>
              </w:rPr>
            </w:pPr>
            <w:r>
              <w:rPr>
                <w:rFonts w:hint="eastAsia" w:ascii="宋体" w:hAnsi="宋体"/>
                <w:color w:val="000000"/>
                <w:kern w:val="0"/>
                <w:sz w:val="24"/>
              </w:rPr>
              <w:t>期刊编审：编辑1个标准工作量/万字；一校、二校、三校分别计0.5个标准工作量/万字；终校1个标准工作量/万字；统稿8个标准工作量/期；初审、复审分别计0.6个标准工作量/篇；终审10个标准工作量/期；审读10个标准工作量/期；发行6个标准工作量/期；编务6个标准工作量/期；</w:t>
            </w:r>
          </w:p>
        </w:tc>
        <w:tc>
          <w:tcPr>
            <w:tcW w:w="1865"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r>
              <w:rPr>
                <w:rFonts w:hint="eastAsia" w:hAnsi="宋体"/>
                <w:color w:val="000000"/>
                <w:kern w:val="0"/>
                <w:sz w:val="24"/>
              </w:rPr>
              <w:t>校内人员纳入绩效管理。</w:t>
            </w:r>
          </w:p>
        </w:tc>
        <w:tc>
          <w:tcPr>
            <w:tcW w:w="1913"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center"/>
              <w:rPr>
                <w:rFonts w:hAnsi="宋体"/>
                <w:color w:val="000000"/>
                <w:kern w:val="0"/>
                <w:sz w:val="24"/>
              </w:rPr>
            </w:pPr>
            <w:r>
              <w:rPr>
                <w:rFonts w:hint="eastAsia" w:hAnsi="宋体"/>
                <w:color w:val="000000"/>
                <w:kern w:val="0"/>
                <w:sz w:val="24"/>
              </w:rPr>
              <w:t>刊物主管部门、分管校领导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2" w:hRule="atLeast"/>
          <w:jc w:val="center"/>
        </w:trPr>
        <w:tc>
          <w:tcPr>
            <w:tcW w:w="395" w:type="dxa"/>
            <w:vMerge w:val="continue"/>
            <w:tcBorders>
              <w:left w:val="single" w:color="auto" w:sz="6" w:space="0"/>
              <w:right w:val="single" w:color="auto" w:sz="6" w:space="0"/>
            </w:tcBorders>
          </w:tcPr>
          <w:p>
            <w:pPr>
              <w:widowControl/>
              <w:adjustRightInd w:val="0"/>
              <w:snapToGrid w:val="0"/>
              <w:jc w:val="center"/>
              <w:rPr>
                <w:rFonts w:hAnsi="宋体"/>
                <w:color w:val="000000"/>
                <w:kern w:val="0"/>
                <w:sz w:val="24"/>
              </w:rPr>
            </w:pPr>
          </w:p>
        </w:tc>
        <w:tc>
          <w:tcPr>
            <w:tcW w:w="1978" w:type="dxa"/>
            <w:vMerge w:val="continue"/>
            <w:tcBorders>
              <w:left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p>
        </w:tc>
        <w:tc>
          <w:tcPr>
            <w:tcW w:w="4341" w:type="dxa"/>
            <w:vMerge w:val="continue"/>
            <w:tcBorders>
              <w:left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left"/>
              <w:rPr>
                <w:rFonts w:ascii="宋体" w:hAnsi="宋体"/>
                <w:color w:val="000000"/>
                <w:kern w:val="0"/>
                <w:sz w:val="24"/>
              </w:rPr>
            </w:pPr>
          </w:p>
        </w:tc>
        <w:tc>
          <w:tcPr>
            <w:tcW w:w="3627" w:type="dxa"/>
            <w:tcBorders>
              <w:top w:val="single" w:color="auto" w:sz="4"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numPr>
                <w:ilvl w:val="0"/>
                <w:numId w:val="2"/>
              </w:numPr>
              <w:adjustRightInd w:val="0"/>
              <w:snapToGrid w:val="0"/>
              <w:jc w:val="left"/>
              <w:rPr>
                <w:rFonts w:ascii="宋体" w:hAnsi="宋体"/>
                <w:color w:val="000000"/>
                <w:kern w:val="0"/>
                <w:sz w:val="24"/>
              </w:rPr>
            </w:pPr>
            <w:r>
              <w:rPr>
                <w:rFonts w:hint="eastAsia" w:ascii="宋体" w:hAnsi="宋体"/>
                <w:color w:val="000000"/>
                <w:kern w:val="0"/>
                <w:sz w:val="24"/>
              </w:rPr>
              <w:t>校内作者稿酬及审稿费：按照《淮南师范学院学报编辑部出版经费收支标准（试行）》（校科研[2018]2号）执行；</w:t>
            </w:r>
          </w:p>
          <w:p>
            <w:pPr>
              <w:widowControl/>
              <w:adjustRightInd w:val="0"/>
              <w:snapToGrid w:val="0"/>
              <w:rPr>
                <w:rFonts w:ascii="宋体" w:hAnsi="宋体"/>
                <w:color w:val="000000"/>
                <w:kern w:val="0"/>
                <w:sz w:val="24"/>
              </w:rPr>
            </w:pPr>
            <w:r>
              <w:rPr>
                <w:rFonts w:hint="eastAsia" w:ascii="宋体" w:hAnsi="宋体"/>
                <w:color w:val="000000"/>
                <w:kern w:val="0"/>
                <w:sz w:val="24"/>
              </w:rPr>
              <w:t>获奖奖励：按照《淮南师范学院学报编辑部出版经费收支标准（试行）》（校科研[2018]2号）执行。</w:t>
            </w:r>
          </w:p>
        </w:tc>
        <w:tc>
          <w:tcPr>
            <w:tcW w:w="1865" w:type="dxa"/>
            <w:tcBorders>
              <w:top w:val="single" w:color="auto" w:sz="4"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r>
              <w:rPr>
                <w:rFonts w:hint="eastAsia" w:hAnsi="宋体"/>
                <w:color w:val="000000"/>
                <w:kern w:val="0"/>
                <w:sz w:val="24"/>
              </w:rPr>
              <w:t>刊物专项经费，可及时发放</w:t>
            </w:r>
          </w:p>
        </w:tc>
        <w:tc>
          <w:tcPr>
            <w:tcW w:w="1913" w:type="dxa"/>
            <w:tcBorders>
              <w:top w:val="single" w:color="auto" w:sz="4"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center"/>
              <w:rPr>
                <w:rFonts w:hAnsi="宋体"/>
                <w:color w:val="000000"/>
                <w:kern w:val="0"/>
                <w:sz w:val="24"/>
              </w:rPr>
            </w:pPr>
            <w:r>
              <w:rPr>
                <w:rFonts w:hint="eastAsia" w:hAnsi="宋体"/>
                <w:color w:val="000000"/>
                <w:kern w:val="0"/>
                <w:sz w:val="24"/>
              </w:rPr>
              <w:t>刊物主管部门、分管校领导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8" w:hRule="atLeast"/>
          <w:jc w:val="center"/>
        </w:trPr>
        <w:tc>
          <w:tcPr>
            <w:tcW w:w="395" w:type="dxa"/>
            <w:vMerge w:val="restart"/>
            <w:tcBorders>
              <w:left w:val="single" w:color="auto" w:sz="6" w:space="0"/>
              <w:right w:val="single" w:color="auto" w:sz="6" w:space="0"/>
            </w:tcBorders>
            <w:vAlign w:val="center"/>
          </w:tcPr>
          <w:p>
            <w:pPr>
              <w:widowControl/>
              <w:adjustRightInd w:val="0"/>
              <w:snapToGrid w:val="0"/>
              <w:jc w:val="center"/>
              <w:rPr>
                <w:rFonts w:hAnsi="宋体"/>
                <w:color w:val="000000"/>
                <w:kern w:val="0"/>
                <w:sz w:val="24"/>
              </w:rPr>
            </w:pPr>
          </w:p>
          <w:p>
            <w:pPr>
              <w:widowControl/>
              <w:adjustRightInd w:val="0"/>
              <w:snapToGrid w:val="0"/>
              <w:jc w:val="center"/>
              <w:rPr>
                <w:rFonts w:hAnsi="宋体"/>
                <w:color w:val="000000"/>
                <w:kern w:val="0"/>
                <w:sz w:val="24"/>
              </w:rPr>
            </w:pPr>
          </w:p>
          <w:p>
            <w:pPr>
              <w:widowControl/>
              <w:adjustRightInd w:val="0"/>
              <w:snapToGrid w:val="0"/>
              <w:jc w:val="center"/>
              <w:rPr>
                <w:rFonts w:hAnsi="宋体"/>
                <w:color w:val="000000"/>
                <w:kern w:val="0"/>
                <w:sz w:val="24"/>
              </w:rPr>
            </w:pPr>
          </w:p>
          <w:p>
            <w:pPr>
              <w:widowControl/>
              <w:adjustRightInd w:val="0"/>
              <w:snapToGrid w:val="0"/>
              <w:jc w:val="center"/>
              <w:rPr>
                <w:rFonts w:hAnsi="宋体"/>
                <w:color w:val="000000"/>
                <w:kern w:val="0"/>
                <w:sz w:val="24"/>
              </w:rPr>
            </w:pPr>
          </w:p>
          <w:p>
            <w:pPr>
              <w:widowControl/>
              <w:adjustRightInd w:val="0"/>
              <w:snapToGrid w:val="0"/>
              <w:jc w:val="center"/>
              <w:rPr>
                <w:rFonts w:hAnsi="宋体"/>
                <w:color w:val="000000"/>
                <w:kern w:val="0"/>
                <w:sz w:val="24"/>
              </w:rPr>
            </w:pPr>
            <w:r>
              <w:rPr>
                <w:rFonts w:hint="eastAsia" w:hAnsi="宋体"/>
                <w:color w:val="000000"/>
                <w:kern w:val="0"/>
                <w:sz w:val="24"/>
              </w:rPr>
              <w:t>考试类</w:t>
            </w:r>
          </w:p>
        </w:tc>
        <w:tc>
          <w:tcPr>
            <w:tcW w:w="1978" w:type="dxa"/>
            <w:vMerge w:val="restart"/>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kern w:val="0"/>
                <w:sz w:val="24"/>
              </w:rPr>
            </w:pPr>
            <w:r>
              <w:rPr>
                <w:rFonts w:hint="eastAsia" w:hAnsi="宋体"/>
                <w:color w:val="000000"/>
                <w:kern w:val="0"/>
                <w:sz w:val="24"/>
              </w:rPr>
              <w:t>校内专项考试（常规教学计划以外）</w:t>
            </w:r>
          </w:p>
        </w:tc>
        <w:tc>
          <w:tcPr>
            <w:tcW w:w="4341" w:type="dxa"/>
            <w:vMerge w:val="restart"/>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p>
        </w:tc>
        <w:tc>
          <w:tcPr>
            <w:tcW w:w="3627" w:type="dxa"/>
            <w:vMerge w:val="restart"/>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left"/>
              <w:rPr>
                <w:rFonts w:hint="eastAsia"/>
                <w:color w:val="000000"/>
                <w:kern w:val="0"/>
                <w:sz w:val="24"/>
              </w:rPr>
            </w:pPr>
            <w:r>
              <w:rPr>
                <w:rFonts w:hint="eastAsia"/>
                <w:color w:val="000000"/>
                <w:kern w:val="0"/>
                <w:sz w:val="24"/>
              </w:rPr>
              <w:t>（1）监考巡考（考务）：不超过3个标准工作量/场，一天不超过6个工作量，非工作日不超过10个工作量；</w:t>
            </w:r>
          </w:p>
          <w:p>
            <w:pPr>
              <w:widowControl/>
              <w:adjustRightInd w:val="0"/>
              <w:snapToGrid w:val="0"/>
              <w:jc w:val="left"/>
              <w:rPr>
                <w:rFonts w:hint="eastAsia"/>
                <w:color w:val="000000"/>
                <w:kern w:val="0"/>
                <w:sz w:val="24"/>
              </w:rPr>
            </w:pPr>
            <w:r>
              <w:rPr>
                <w:rFonts w:hint="eastAsia"/>
                <w:color w:val="000000"/>
                <w:kern w:val="0"/>
                <w:sz w:val="24"/>
              </w:rPr>
              <w:t>（2）试卷评阅：不超过1个标准工作量/15份；不足一个工作量按1个工作量计算。</w:t>
            </w:r>
          </w:p>
          <w:p>
            <w:pPr>
              <w:widowControl/>
              <w:adjustRightInd w:val="0"/>
              <w:snapToGrid w:val="0"/>
              <w:jc w:val="left"/>
              <w:rPr>
                <w:rFonts w:hint="eastAsia"/>
                <w:color w:val="000000"/>
                <w:kern w:val="0"/>
                <w:sz w:val="24"/>
              </w:rPr>
            </w:pPr>
            <w:r>
              <w:rPr>
                <w:rFonts w:hint="eastAsia"/>
                <w:color w:val="000000"/>
                <w:kern w:val="0"/>
                <w:sz w:val="24"/>
              </w:rPr>
              <w:t>（3）试卷命题：不超过15个标准工作量/套（封闭命题15个标准工作量/人/天）；</w:t>
            </w:r>
          </w:p>
          <w:p>
            <w:pPr>
              <w:widowControl/>
              <w:adjustRightInd w:val="0"/>
              <w:snapToGrid w:val="0"/>
              <w:jc w:val="left"/>
              <w:rPr>
                <w:rFonts w:hint="eastAsia"/>
                <w:color w:val="000000"/>
                <w:kern w:val="0"/>
                <w:sz w:val="24"/>
              </w:rPr>
            </w:pPr>
            <w:r>
              <w:rPr>
                <w:rFonts w:hint="eastAsia"/>
                <w:color w:val="000000"/>
                <w:kern w:val="0"/>
                <w:sz w:val="24"/>
              </w:rPr>
              <w:t>（4）试卷保密：1个标准工作量/半天/人；</w:t>
            </w:r>
          </w:p>
          <w:p>
            <w:pPr>
              <w:widowControl/>
              <w:adjustRightInd w:val="0"/>
              <w:snapToGrid w:val="0"/>
              <w:jc w:val="left"/>
              <w:rPr>
                <w:rFonts w:hAnsi="宋体"/>
                <w:color w:val="000000"/>
                <w:kern w:val="0"/>
                <w:sz w:val="24"/>
              </w:rPr>
            </w:pPr>
            <w:r>
              <w:rPr>
                <w:rFonts w:hint="eastAsia"/>
                <w:color w:val="000000"/>
                <w:kern w:val="0"/>
                <w:sz w:val="24"/>
              </w:rPr>
              <w:t>（5）筹备与总结：500人以下不超过3人；500-1000人不超过5人；1000人以上不超过7人；个人劳务总额不超过监考人员劳务费。（参照省考试院、省招委有关通知文件执行）</w:t>
            </w:r>
          </w:p>
        </w:tc>
        <w:tc>
          <w:tcPr>
            <w:tcW w:w="1865"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r>
              <w:rPr>
                <w:rFonts w:hint="eastAsia"/>
                <w:color w:val="000000"/>
                <w:kern w:val="0"/>
                <w:sz w:val="24"/>
              </w:rPr>
              <w:t>四（六）级、计算机等级考试等考试专项经费，可在预算范围内及时发放。</w:t>
            </w:r>
          </w:p>
        </w:tc>
        <w:tc>
          <w:tcPr>
            <w:tcW w:w="1913" w:type="dxa"/>
            <w:vMerge w:val="restart"/>
            <w:tcBorders>
              <w:top w:val="single" w:color="auto" w:sz="6" w:space="0"/>
              <w:left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center"/>
              <w:rPr>
                <w:rFonts w:hAnsi="宋体"/>
                <w:color w:val="000000"/>
                <w:kern w:val="0"/>
                <w:sz w:val="24"/>
              </w:rPr>
            </w:pPr>
            <w:r>
              <w:rPr>
                <w:rFonts w:hint="eastAsia" w:hAnsi="宋体"/>
                <w:color w:val="000000"/>
                <w:kern w:val="0"/>
                <w:sz w:val="24"/>
              </w:rPr>
              <w:t>考试组织部门、分管校领导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28" w:hRule="atLeast"/>
          <w:jc w:val="center"/>
        </w:trPr>
        <w:tc>
          <w:tcPr>
            <w:tcW w:w="395" w:type="dxa"/>
            <w:vMerge w:val="continue"/>
            <w:tcBorders>
              <w:left w:val="single" w:color="auto" w:sz="6" w:space="0"/>
              <w:right w:val="single" w:color="auto" w:sz="6" w:space="0"/>
            </w:tcBorders>
            <w:vAlign w:val="center"/>
          </w:tcPr>
          <w:p>
            <w:pPr>
              <w:widowControl/>
              <w:adjustRightInd w:val="0"/>
              <w:snapToGrid w:val="0"/>
              <w:jc w:val="center"/>
              <w:rPr>
                <w:rFonts w:hAnsi="宋体"/>
                <w:color w:val="000000"/>
                <w:kern w:val="0"/>
                <w:sz w:val="24"/>
              </w:rPr>
            </w:pPr>
          </w:p>
        </w:tc>
        <w:tc>
          <w:tcPr>
            <w:tcW w:w="1978" w:type="dxa"/>
            <w:vMerge w:val="continue"/>
            <w:tcBorders>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kern w:val="0"/>
                <w:sz w:val="24"/>
              </w:rPr>
            </w:pPr>
          </w:p>
        </w:tc>
        <w:tc>
          <w:tcPr>
            <w:tcW w:w="4341" w:type="dxa"/>
            <w:vMerge w:val="continue"/>
            <w:tcBorders>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p>
        </w:tc>
        <w:tc>
          <w:tcPr>
            <w:tcW w:w="3627" w:type="dxa"/>
            <w:vMerge w:val="continue"/>
            <w:tcBorders>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color w:val="000000"/>
                <w:kern w:val="0"/>
                <w:sz w:val="24"/>
              </w:rPr>
            </w:pPr>
          </w:p>
        </w:tc>
        <w:tc>
          <w:tcPr>
            <w:tcW w:w="1865" w:type="dxa"/>
            <w:tcBorders>
              <w:top w:val="single" w:color="auto" w:sz="4"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color w:val="000000"/>
                <w:kern w:val="0"/>
                <w:sz w:val="24"/>
              </w:rPr>
            </w:pPr>
            <w:r>
              <w:rPr>
                <w:rFonts w:hint="eastAsia"/>
                <w:color w:val="000000"/>
                <w:kern w:val="0"/>
                <w:sz w:val="24"/>
              </w:rPr>
              <w:t>无考试专项经费，纳入绩效管理。</w:t>
            </w:r>
          </w:p>
        </w:tc>
        <w:tc>
          <w:tcPr>
            <w:tcW w:w="1913" w:type="dxa"/>
            <w:vMerge w:val="continue"/>
            <w:tcBorders>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center"/>
              <w:rPr>
                <w:rFonts w:hAnsi="宋体"/>
                <w:color w:val="000000"/>
                <w:kern w:val="0"/>
                <w:sz w:val="24"/>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7" w:hRule="atLeast"/>
          <w:jc w:val="center"/>
        </w:trPr>
        <w:tc>
          <w:tcPr>
            <w:tcW w:w="395" w:type="dxa"/>
            <w:vMerge w:val="continue"/>
            <w:tcBorders>
              <w:left w:val="single" w:color="auto" w:sz="6" w:space="0"/>
              <w:right w:val="single" w:color="auto" w:sz="6" w:space="0"/>
            </w:tcBorders>
            <w:vAlign w:val="center"/>
          </w:tcPr>
          <w:p>
            <w:pPr>
              <w:widowControl/>
              <w:adjustRightInd w:val="0"/>
              <w:snapToGrid w:val="0"/>
              <w:jc w:val="center"/>
              <w:rPr>
                <w:rFonts w:hAnsi="宋体"/>
                <w:color w:val="000000"/>
                <w:kern w:val="0"/>
                <w:sz w:val="24"/>
              </w:rPr>
            </w:pPr>
          </w:p>
        </w:tc>
        <w:tc>
          <w:tcPr>
            <w:tcW w:w="1978"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kern w:val="0"/>
                <w:sz w:val="24"/>
              </w:rPr>
            </w:pPr>
            <w:r>
              <w:rPr>
                <w:rFonts w:hint="eastAsia"/>
                <w:color w:val="000000"/>
                <w:kern w:val="0"/>
                <w:sz w:val="24"/>
              </w:rPr>
              <w:t>校外专项考试（有校外经费来源）</w:t>
            </w:r>
          </w:p>
        </w:tc>
        <w:tc>
          <w:tcPr>
            <w:tcW w:w="4341"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p>
        </w:tc>
        <w:tc>
          <w:tcPr>
            <w:tcW w:w="3627"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color w:val="000000"/>
                <w:kern w:val="0"/>
                <w:sz w:val="24"/>
              </w:rPr>
            </w:pPr>
            <w:r>
              <w:rPr>
                <w:rFonts w:hint="eastAsia"/>
                <w:color w:val="000000"/>
                <w:kern w:val="0"/>
                <w:sz w:val="24"/>
              </w:rPr>
              <w:t>（1）到账经费15%上缴学校留作发展基金，社会效益明显但到账经费不足的考试，经学校主要领导同意可以申请减免；</w:t>
            </w:r>
          </w:p>
          <w:p>
            <w:pPr>
              <w:widowControl/>
              <w:adjustRightInd w:val="0"/>
              <w:snapToGrid w:val="0"/>
              <w:jc w:val="left"/>
              <w:rPr>
                <w:color w:val="000000"/>
                <w:kern w:val="0"/>
                <w:sz w:val="24"/>
              </w:rPr>
            </w:pPr>
            <w:r>
              <w:rPr>
                <w:rFonts w:hint="eastAsia"/>
                <w:color w:val="000000"/>
                <w:kern w:val="0"/>
                <w:sz w:val="24"/>
              </w:rPr>
              <w:t>（2）考务运行按照合同约定或参照校内专项考试标准发放；</w:t>
            </w:r>
          </w:p>
          <w:p>
            <w:pPr>
              <w:widowControl/>
              <w:adjustRightInd w:val="0"/>
              <w:snapToGrid w:val="0"/>
              <w:jc w:val="left"/>
              <w:rPr>
                <w:color w:val="000000"/>
                <w:kern w:val="0"/>
                <w:sz w:val="24"/>
              </w:rPr>
            </w:pPr>
            <w:r>
              <w:rPr>
                <w:rFonts w:hint="eastAsia"/>
                <w:color w:val="000000"/>
                <w:kern w:val="0"/>
                <w:sz w:val="24"/>
              </w:rPr>
              <w:t>（3）有剩余资金的可发放筹备与总结劳务，发放标准参照校内专项考试标准，个人劳务总额不超过监考人员劳务费总额</w:t>
            </w:r>
            <w:r>
              <w:rPr>
                <w:rFonts w:hint="eastAsia"/>
                <w:color w:val="000000"/>
                <w:kern w:val="0"/>
                <w:sz w:val="24"/>
                <w:lang w:val="en-US" w:eastAsia="zh-CN"/>
              </w:rPr>
              <w:t>2</w:t>
            </w:r>
            <w:bookmarkStart w:id="1" w:name="_GoBack"/>
            <w:bookmarkEnd w:id="1"/>
            <w:r>
              <w:rPr>
                <w:rFonts w:hint="eastAsia"/>
                <w:color w:val="000000"/>
                <w:kern w:val="0"/>
                <w:sz w:val="24"/>
              </w:rPr>
              <w:t>倍。</w:t>
            </w:r>
          </w:p>
        </w:tc>
        <w:tc>
          <w:tcPr>
            <w:tcW w:w="1865"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color w:val="000000"/>
                <w:kern w:val="0"/>
                <w:sz w:val="24"/>
              </w:rPr>
            </w:pPr>
            <w:r>
              <w:rPr>
                <w:rFonts w:hint="eastAsia" w:hAnsi="宋体"/>
                <w:color w:val="000000"/>
                <w:kern w:val="0"/>
                <w:sz w:val="24"/>
              </w:rPr>
              <w:t>校外划拨经费，可及时发放。</w:t>
            </w:r>
          </w:p>
        </w:tc>
        <w:tc>
          <w:tcPr>
            <w:tcW w:w="1913"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center"/>
              <w:rPr>
                <w:rFonts w:hAnsi="宋体"/>
                <w:color w:val="000000"/>
                <w:kern w:val="0"/>
                <w:sz w:val="24"/>
              </w:rPr>
            </w:pPr>
            <w:r>
              <w:rPr>
                <w:rFonts w:hint="eastAsia" w:hAnsi="宋体"/>
                <w:color w:val="000000"/>
                <w:kern w:val="0"/>
                <w:sz w:val="24"/>
              </w:rPr>
              <w:t>考试组织部门、分管校领导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1" w:hRule="atLeast"/>
          <w:jc w:val="center"/>
        </w:trPr>
        <w:tc>
          <w:tcPr>
            <w:tcW w:w="395" w:type="dxa"/>
            <w:vMerge w:val="restart"/>
            <w:tcBorders>
              <w:left w:val="single" w:color="auto" w:sz="6" w:space="0"/>
              <w:right w:val="single" w:color="auto" w:sz="6" w:space="0"/>
            </w:tcBorders>
            <w:vAlign w:val="center"/>
          </w:tcPr>
          <w:p>
            <w:pPr>
              <w:widowControl/>
              <w:adjustRightInd w:val="0"/>
              <w:snapToGrid w:val="0"/>
              <w:jc w:val="center"/>
              <w:rPr>
                <w:rFonts w:hAnsi="宋体"/>
                <w:color w:val="000000"/>
                <w:kern w:val="0"/>
                <w:sz w:val="24"/>
              </w:rPr>
            </w:pPr>
            <w:r>
              <w:rPr>
                <w:rFonts w:hint="eastAsia" w:hAnsi="宋体"/>
                <w:color w:val="000000"/>
                <w:kern w:val="0"/>
                <w:sz w:val="24"/>
              </w:rPr>
              <w:t>培训类</w:t>
            </w:r>
          </w:p>
        </w:tc>
        <w:tc>
          <w:tcPr>
            <w:tcW w:w="1978"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color w:val="000000"/>
                <w:kern w:val="0"/>
                <w:sz w:val="24"/>
              </w:rPr>
            </w:pPr>
            <w:r>
              <w:rPr>
                <w:rFonts w:hint="eastAsia" w:ascii="宋体" w:hAnsi="宋体"/>
                <w:color w:val="000000"/>
                <w:kern w:val="0"/>
                <w:sz w:val="24"/>
              </w:rPr>
              <w:t>继续教育、培训类（无校外经费来源）</w:t>
            </w:r>
          </w:p>
        </w:tc>
        <w:tc>
          <w:tcPr>
            <w:tcW w:w="4341"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r>
              <w:rPr>
                <w:rFonts w:hint="eastAsia" w:hAnsi="宋体"/>
                <w:color w:val="000000"/>
                <w:kern w:val="0"/>
                <w:sz w:val="24"/>
              </w:rPr>
              <w:t>授课：参照讲座类标准执行。</w:t>
            </w:r>
          </w:p>
        </w:tc>
        <w:tc>
          <w:tcPr>
            <w:tcW w:w="3627"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numPr>
                <w:ilvl w:val="0"/>
                <w:numId w:val="3"/>
              </w:numPr>
              <w:adjustRightInd w:val="0"/>
              <w:snapToGrid w:val="0"/>
              <w:jc w:val="left"/>
              <w:rPr>
                <w:rFonts w:hAnsi="宋体"/>
                <w:color w:val="000000"/>
                <w:kern w:val="0"/>
                <w:sz w:val="24"/>
              </w:rPr>
            </w:pPr>
            <w:r>
              <w:rPr>
                <w:rFonts w:hint="eastAsia" w:hAnsi="宋体"/>
                <w:color w:val="000000"/>
                <w:kern w:val="0"/>
                <w:sz w:val="24"/>
              </w:rPr>
              <w:t>授课：不超过2个标准工作量/半天。</w:t>
            </w:r>
          </w:p>
          <w:p>
            <w:pPr>
              <w:widowControl/>
              <w:adjustRightInd w:val="0"/>
              <w:snapToGrid w:val="0"/>
              <w:jc w:val="left"/>
              <w:rPr>
                <w:rFonts w:hAnsi="宋体"/>
                <w:color w:val="000000"/>
                <w:kern w:val="0"/>
                <w:sz w:val="24"/>
              </w:rPr>
            </w:pPr>
            <w:r>
              <w:rPr>
                <w:rFonts w:hint="eastAsia" w:hAnsi="宋体"/>
                <w:color w:val="000000"/>
                <w:sz w:val="24"/>
              </w:rPr>
              <w:t>（2）正高（正处）、副高（博士或副处）、其他人员分别按照2.0、1.5、1.0乘以职称系数。</w:t>
            </w:r>
          </w:p>
        </w:tc>
        <w:tc>
          <w:tcPr>
            <w:tcW w:w="1865"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left"/>
              <w:rPr>
                <w:rFonts w:hAnsi="宋体"/>
                <w:color w:val="000000"/>
                <w:kern w:val="0"/>
                <w:sz w:val="24"/>
              </w:rPr>
            </w:pPr>
            <w:r>
              <w:rPr>
                <w:rFonts w:hint="eastAsia" w:hAnsi="宋体"/>
                <w:color w:val="000000"/>
                <w:kern w:val="0"/>
                <w:sz w:val="24"/>
              </w:rPr>
              <w:t>校内人员纳入绩效管理。</w:t>
            </w:r>
          </w:p>
        </w:tc>
        <w:tc>
          <w:tcPr>
            <w:tcW w:w="1913" w:type="dxa"/>
            <w:tcBorders>
              <w:top w:val="single" w:color="auto" w:sz="6"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jc w:val="center"/>
              <w:rPr>
                <w:rFonts w:hAnsi="宋体"/>
                <w:color w:val="000000"/>
                <w:kern w:val="0"/>
                <w:sz w:val="24"/>
              </w:rPr>
            </w:pPr>
            <w:r>
              <w:rPr>
                <w:rFonts w:hint="eastAsia" w:hAnsi="宋体"/>
                <w:color w:val="000000"/>
                <w:kern w:val="0"/>
                <w:sz w:val="24"/>
              </w:rPr>
              <w:t>承办部门、分管校领导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8" w:hRule="atLeast"/>
          <w:jc w:val="center"/>
        </w:trPr>
        <w:tc>
          <w:tcPr>
            <w:tcW w:w="395" w:type="dxa"/>
            <w:vMerge w:val="continue"/>
            <w:tcBorders>
              <w:left w:val="single" w:color="auto" w:sz="6" w:space="0"/>
              <w:right w:val="single" w:color="auto" w:sz="6" w:space="0"/>
            </w:tcBorders>
          </w:tcPr>
          <w:p>
            <w:pPr>
              <w:widowControl/>
              <w:adjustRightInd w:val="0"/>
              <w:snapToGrid w:val="0"/>
              <w:jc w:val="center"/>
              <w:rPr>
                <w:rFonts w:hAnsi="宋体"/>
                <w:color w:val="000000"/>
                <w:kern w:val="0"/>
                <w:sz w:val="24"/>
              </w:rPr>
            </w:pPr>
          </w:p>
        </w:tc>
        <w:tc>
          <w:tcPr>
            <w:tcW w:w="1978"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rPr>
                <w:rFonts w:hAnsi="宋体"/>
                <w:color w:val="000000"/>
                <w:kern w:val="0"/>
                <w:sz w:val="24"/>
              </w:rPr>
            </w:pPr>
            <w:r>
              <w:rPr>
                <w:rFonts w:hint="eastAsia" w:ascii="宋体" w:hAnsi="宋体"/>
                <w:color w:val="000000"/>
                <w:kern w:val="0"/>
                <w:sz w:val="24"/>
              </w:rPr>
              <w:t>继续教育、培训类（有校外经费来源）</w:t>
            </w:r>
          </w:p>
        </w:tc>
        <w:tc>
          <w:tcPr>
            <w:tcW w:w="4341"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r>
              <w:rPr>
                <w:rFonts w:hint="eastAsia" w:hAnsi="宋体"/>
                <w:color w:val="000000"/>
                <w:kern w:val="0"/>
                <w:sz w:val="24"/>
              </w:rPr>
              <w:t>按照《淮南师范学院继续教育教师培训经费支出管理办法》执行</w:t>
            </w:r>
          </w:p>
        </w:tc>
        <w:tc>
          <w:tcPr>
            <w:tcW w:w="3627"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r>
              <w:rPr>
                <w:rFonts w:hint="eastAsia" w:hAnsi="宋体"/>
                <w:color w:val="000000"/>
                <w:kern w:val="0"/>
                <w:sz w:val="24"/>
              </w:rPr>
              <w:t>按照《淮南师范学院继续教育教师培训经费支出管理办法》执行</w:t>
            </w:r>
          </w:p>
        </w:tc>
        <w:tc>
          <w:tcPr>
            <w:tcW w:w="1865"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r>
              <w:rPr>
                <w:rFonts w:hint="eastAsia" w:hAnsi="宋体"/>
                <w:color w:val="000000"/>
                <w:kern w:val="0"/>
                <w:sz w:val="24"/>
              </w:rPr>
              <w:t>校外划拨经费，可及时发放。</w:t>
            </w:r>
          </w:p>
        </w:tc>
        <w:tc>
          <w:tcPr>
            <w:tcW w:w="1913"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jc w:val="center"/>
              <w:rPr>
                <w:rFonts w:hAnsi="宋体"/>
                <w:color w:val="000000"/>
                <w:kern w:val="0"/>
                <w:sz w:val="24"/>
              </w:rPr>
            </w:pPr>
            <w:r>
              <w:rPr>
                <w:rFonts w:hint="eastAsia" w:hAnsi="宋体"/>
                <w:color w:val="000000"/>
                <w:kern w:val="0"/>
                <w:sz w:val="24"/>
              </w:rPr>
              <w:t>承办部门、分管校领导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8" w:hRule="atLeast"/>
          <w:jc w:val="center"/>
        </w:trPr>
        <w:tc>
          <w:tcPr>
            <w:tcW w:w="395" w:type="dxa"/>
            <w:tcBorders>
              <w:left w:val="single" w:color="auto" w:sz="6" w:space="0"/>
              <w:right w:val="single" w:color="auto" w:sz="6" w:space="0"/>
            </w:tcBorders>
            <w:vAlign w:val="center"/>
          </w:tcPr>
          <w:p>
            <w:pPr>
              <w:adjustRightInd w:val="0"/>
              <w:snapToGrid w:val="0"/>
              <w:jc w:val="center"/>
              <w:rPr>
                <w:rFonts w:ascii="宋体" w:hAnsi="宋体"/>
                <w:color w:val="000000"/>
                <w:kern w:val="0"/>
                <w:sz w:val="24"/>
              </w:rPr>
            </w:pPr>
            <w:r>
              <w:rPr>
                <w:rFonts w:hint="eastAsia" w:ascii="宋体" w:hAnsi="宋体"/>
                <w:color w:val="000000"/>
                <w:kern w:val="0"/>
                <w:sz w:val="24"/>
              </w:rPr>
              <w:t>加班类</w:t>
            </w:r>
          </w:p>
        </w:tc>
        <w:tc>
          <w:tcPr>
            <w:tcW w:w="1978"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rPr>
                <w:rFonts w:ascii="宋体" w:hAnsi="宋体"/>
                <w:color w:val="000000"/>
                <w:kern w:val="0"/>
                <w:sz w:val="24"/>
              </w:rPr>
            </w:pPr>
            <w:r>
              <w:rPr>
                <w:rFonts w:hint="eastAsia" w:ascii="宋体" w:hAnsi="宋体"/>
                <w:color w:val="000000"/>
                <w:kern w:val="0"/>
                <w:sz w:val="24"/>
              </w:rPr>
              <w:t>加班费</w:t>
            </w:r>
          </w:p>
        </w:tc>
        <w:tc>
          <w:tcPr>
            <w:tcW w:w="4341"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p>
        </w:tc>
        <w:tc>
          <w:tcPr>
            <w:tcW w:w="3627"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r>
              <w:rPr>
                <w:rFonts w:hint="eastAsia" w:hAnsi="宋体"/>
                <w:color w:val="000000"/>
                <w:kern w:val="0"/>
                <w:sz w:val="24"/>
              </w:rPr>
              <w:t>（1）晚间：1个标准工作量；</w:t>
            </w:r>
          </w:p>
          <w:p>
            <w:pPr>
              <w:adjustRightInd w:val="0"/>
              <w:snapToGrid w:val="0"/>
              <w:jc w:val="left"/>
              <w:rPr>
                <w:rFonts w:hAnsi="宋体"/>
                <w:color w:val="000000"/>
                <w:kern w:val="0"/>
                <w:sz w:val="24"/>
              </w:rPr>
            </w:pPr>
            <w:r>
              <w:rPr>
                <w:rFonts w:hint="eastAsia" w:hAnsi="宋体"/>
                <w:color w:val="000000"/>
                <w:kern w:val="0"/>
                <w:sz w:val="24"/>
              </w:rPr>
              <w:t>（2）双休日：2个标准工作量/天；</w:t>
            </w:r>
          </w:p>
          <w:p>
            <w:pPr>
              <w:adjustRightInd w:val="0"/>
              <w:snapToGrid w:val="0"/>
              <w:jc w:val="left"/>
              <w:rPr>
                <w:rFonts w:hAnsi="宋体"/>
                <w:color w:val="000000"/>
                <w:kern w:val="0"/>
                <w:sz w:val="24"/>
              </w:rPr>
            </w:pPr>
            <w:r>
              <w:rPr>
                <w:rFonts w:hint="eastAsia" w:hAnsi="宋体"/>
                <w:color w:val="000000"/>
                <w:kern w:val="0"/>
                <w:sz w:val="24"/>
              </w:rPr>
              <w:t>（3）法定节假日：2个标准工作量/半天；</w:t>
            </w:r>
          </w:p>
          <w:p>
            <w:pPr>
              <w:adjustRightInd w:val="0"/>
              <w:snapToGrid w:val="0"/>
              <w:jc w:val="left"/>
              <w:rPr>
                <w:rFonts w:hAnsi="宋体"/>
                <w:color w:val="000000"/>
                <w:kern w:val="0"/>
                <w:sz w:val="24"/>
              </w:rPr>
            </w:pPr>
            <w:r>
              <w:rPr>
                <w:rFonts w:hint="eastAsia" w:hAnsi="宋体"/>
                <w:color w:val="000000"/>
                <w:kern w:val="0"/>
                <w:sz w:val="24"/>
              </w:rPr>
              <w:t>（4）全年累计不得</w:t>
            </w:r>
            <w:r>
              <w:rPr>
                <w:rFonts w:hint="eastAsia" w:hAnsi="宋体"/>
                <w:color w:val="000000"/>
                <w:sz w:val="24"/>
              </w:rPr>
              <w:t>超过10个标</w:t>
            </w:r>
            <w:r>
              <w:rPr>
                <w:rFonts w:hint="eastAsia" w:hAnsi="宋体"/>
                <w:color w:val="000000"/>
                <w:kern w:val="0"/>
                <w:sz w:val="24"/>
              </w:rPr>
              <w:t>准工作量，超出部分不予计算。</w:t>
            </w:r>
          </w:p>
        </w:tc>
        <w:tc>
          <w:tcPr>
            <w:tcW w:w="1865"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r>
              <w:rPr>
                <w:rFonts w:hint="eastAsia" w:hAnsi="宋体"/>
                <w:color w:val="000000"/>
                <w:kern w:val="0"/>
                <w:sz w:val="24"/>
              </w:rPr>
              <w:t>纳入绩效管理。</w:t>
            </w:r>
          </w:p>
        </w:tc>
        <w:tc>
          <w:tcPr>
            <w:tcW w:w="1913"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kern w:val="0"/>
                <w:sz w:val="24"/>
              </w:rPr>
            </w:pPr>
            <w:r>
              <w:rPr>
                <w:rFonts w:hint="eastAsia" w:hAnsi="宋体"/>
                <w:color w:val="000000"/>
                <w:kern w:val="0"/>
                <w:sz w:val="24"/>
              </w:rPr>
              <w:t>部门负责人、分管校领导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3" w:hRule="atLeast"/>
          <w:jc w:val="center"/>
        </w:trPr>
        <w:tc>
          <w:tcPr>
            <w:tcW w:w="395" w:type="dxa"/>
            <w:vMerge w:val="restart"/>
            <w:tcBorders>
              <w:left w:val="single" w:color="auto" w:sz="6" w:space="0"/>
              <w:right w:val="single" w:color="auto" w:sz="6" w:space="0"/>
            </w:tcBorders>
            <w:vAlign w:val="center"/>
          </w:tcPr>
          <w:p>
            <w:pPr>
              <w:adjustRightInd w:val="0"/>
              <w:snapToGrid w:val="0"/>
              <w:jc w:val="center"/>
              <w:rPr>
                <w:rFonts w:ascii="宋体" w:hAnsi="宋体"/>
                <w:color w:val="000000"/>
                <w:kern w:val="0"/>
                <w:sz w:val="24"/>
              </w:rPr>
            </w:pPr>
            <w:r>
              <w:rPr>
                <w:rFonts w:hint="eastAsia" w:ascii="宋体" w:hAnsi="宋体"/>
                <w:color w:val="000000"/>
                <w:kern w:val="0"/>
                <w:sz w:val="24"/>
              </w:rPr>
              <w:t>三助类</w:t>
            </w:r>
          </w:p>
        </w:tc>
        <w:tc>
          <w:tcPr>
            <w:tcW w:w="1978" w:type="dxa"/>
            <w:tcBorders>
              <w:top w:val="single" w:color="auto" w:sz="4" w:space="0"/>
              <w:left w:val="single" w:color="auto" w:sz="6" w:space="0"/>
              <w:right w:val="single" w:color="auto" w:sz="6" w:space="0"/>
            </w:tcBorders>
            <w:tcMar>
              <w:top w:w="0" w:type="dxa"/>
              <w:left w:w="108" w:type="dxa"/>
              <w:bottom w:w="0" w:type="dxa"/>
              <w:right w:w="108" w:type="dxa"/>
            </w:tcMar>
            <w:vAlign w:val="center"/>
          </w:tcPr>
          <w:p>
            <w:pPr>
              <w:adjustRightInd w:val="0"/>
              <w:snapToGrid w:val="0"/>
              <w:rPr>
                <w:rFonts w:ascii="宋体" w:hAnsi="宋体"/>
                <w:color w:val="000000"/>
                <w:kern w:val="0"/>
                <w:sz w:val="24"/>
              </w:rPr>
            </w:pPr>
            <w:r>
              <w:rPr>
                <w:rFonts w:hint="eastAsia" w:ascii="宋体" w:hAnsi="宋体"/>
                <w:color w:val="000000"/>
                <w:kern w:val="0"/>
                <w:sz w:val="24"/>
              </w:rPr>
              <w:t>学生助研费</w:t>
            </w:r>
          </w:p>
        </w:tc>
        <w:tc>
          <w:tcPr>
            <w:tcW w:w="4341" w:type="dxa"/>
            <w:tcBorders>
              <w:top w:val="single" w:color="auto" w:sz="4" w:space="0"/>
              <w:left w:val="single" w:color="auto" w:sz="6" w:space="0"/>
              <w:bottom w:val="single" w:color="auto" w:sz="4"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r>
              <w:rPr>
                <w:rFonts w:hint="eastAsia" w:hAnsi="宋体"/>
                <w:color w:val="000000"/>
                <w:kern w:val="0"/>
                <w:sz w:val="24"/>
              </w:rPr>
              <w:t>（1）博士生：不超过1000元/月</w:t>
            </w:r>
          </w:p>
          <w:p>
            <w:pPr>
              <w:adjustRightInd w:val="0"/>
              <w:snapToGrid w:val="0"/>
              <w:jc w:val="left"/>
              <w:rPr>
                <w:rFonts w:hAnsi="宋体"/>
                <w:color w:val="000000"/>
                <w:kern w:val="0"/>
                <w:sz w:val="24"/>
              </w:rPr>
            </w:pPr>
            <w:r>
              <w:rPr>
                <w:rFonts w:hint="eastAsia" w:hAnsi="宋体"/>
                <w:color w:val="000000"/>
                <w:kern w:val="0"/>
                <w:sz w:val="24"/>
              </w:rPr>
              <w:t>（2）硕士生：不超过500元/月</w:t>
            </w:r>
          </w:p>
        </w:tc>
        <w:tc>
          <w:tcPr>
            <w:tcW w:w="3627" w:type="dxa"/>
            <w:tcBorders>
              <w:top w:val="single" w:color="auto" w:sz="4" w:space="0"/>
              <w:left w:val="single" w:color="auto" w:sz="6" w:space="0"/>
              <w:bottom w:val="single" w:color="auto" w:sz="4"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r>
              <w:rPr>
                <w:rFonts w:hint="eastAsia" w:hAnsi="宋体"/>
                <w:color w:val="000000"/>
                <w:kern w:val="0"/>
                <w:sz w:val="24"/>
              </w:rPr>
              <w:t>（1）博士生：不超过1000元/月；</w:t>
            </w:r>
          </w:p>
          <w:p>
            <w:pPr>
              <w:adjustRightInd w:val="0"/>
              <w:snapToGrid w:val="0"/>
              <w:jc w:val="left"/>
              <w:rPr>
                <w:rFonts w:hAnsi="宋体"/>
                <w:color w:val="000000"/>
                <w:kern w:val="0"/>
                <w:sz w:val="24"/>
              </w:rPr>
            </w:pPr>
            <w:r>
              <w:rPr>
                <w:rFonts w:hint="eastAsia" w:hAnsi="宋体"/>
                <w:color w:val="000000"/>
                <w:kern w:val="0"/>
                <w:sz w:val="24"/>
              </w:rPr>
              <w:t>（2）硕士生：不超过500元/月；</w:t>
            </w:r>
          </w:p>
          <w:p>
            <w:pPr>
              <w:adjustRightInd w:val="0"/>
              <w:snapToGrid w:val="0"/>
              <w:jc w:val="left"/>
              <w:rPr>
                <w:rFonts w:hAnsi="宋体"/>
                <w:color w:val="000000"/>
                <w:kern w:val="0"/>
                <w:sz w:val="24"/>
              </w:rPr>
            </w:pPr>
            <w:r>
              <w:rPr>
                <w:rFonts w:hint="eastAsia" w:hAnsi="宋体"/>
                <w:color w:val="000000"/>
                <w:kern w:val="0"/>
                <w:sz w:val="24"/>
              </w:rPr>
              <w:t>（3）本科生：不超过300元/月。</w:t>
            </w:r>
          </w:p>
        </w:tc>
        <w:tc>
          <w:tcPr>
            <w:tcW w:w="1865" w:type="dxa"/>
            <w:tcBorders>
              <w:top w:val="single" w:color="auto" w:sz="4" w:space="0"/>
              <w:left w:val="single" w:color="auto" w:sz="6" w:space="0"/>
              <w:bottom w:val="single" w:color="auto" w:sz="4"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r>
              <w:rPr>
                <w:rFonts w:hint="eastAsia" w:hAnsi="宋体"/>
                <w:color w:val="000000"/>
                <w:kern w:val="0"/>
                <w:sz w:val="24"/>
              </w:rPr>
              <w:t>有经费来源的各类课题，可及时发放。</w:t>
            </w:r>
          </w:p>
        </w:tc>
        <w:tc>
          <w:tcPr>
            <w:tcW w:w="1913" w:type="dxa"/>
            <w:tcBorders>
              <w:top w:val="single" w:color="auto" w:sz="4" w:space="0"/>
              <w:left w:val="single" w:color="auto" w:sz="6" w:space="0"/>
              <w:bottom w:val="single" w:color="auto" w:sz="4" w:space="0"/>
              <w:right w:val="single" w:color="auto" w:sz="6" w:space="0"/>
            </w:tcBorders>
            <w:tcMar>
              <w:top w:w="0" w:type="dxa"/>
              <w:left w:w="108" w:type="dxa"/>
              <w:bottom w:w="0" w:type="dxa"/>
              <w:right w:w="108" w:type="dxa"/>
            </w:tcMar>
            <w:vAlign w:val="center"/>
          </w:tcPr>
          <w:p>
            <w:pPr>
              <w:widowControl/>
              <w:adjustRightInd w:val="0"/>
              <w:snapToGrid w:val="0"/>
              <w:rPr>
                <w:rFonts w:hAnsi="宋体"/>
                <w:color w:val="000000"/>
                <w:kern w:val="0"/>
                <w:sz w:val="24"/>
              </w:rPr>
            </w:pPr>
            <w:r>
              <w:rPr>
                <w:rFonts w:hint="eastAsia" w:hAnsi="宋体"/>
                <w:bCs/>
                <w:color w:val="000000"/>
                <w:kern w:val="0"/>
                <w:sz w:val="24"/>
              </w:rPr>
              <w:t>项目负责人、经费主管部门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6" w:hRule="atLeast"/>
          <w:jc w:val="center"/>
        </w:trPr>
        <w:tc>
          <w:tcPr>
            <w:tcW w:w="395" w:type="dxa"/>
            <w:vMerge w:val="continue"/>
            <w:tcBorders>
              <w:left w:val="single" w:color="auto" w:sz="6" w:space="0"/>
              <w:right w:val="single" w:color="auto" w:sz="6" w:space="0"/>
            </w:tcBorders>
            <w:vAlign w:val="center"/>
          </w:tcPr>
          <w:p>
            <w:pPr>
              <w:adjustRightInd w:val="0"/>
              <w:snapToGrid w:val="0"/>
              <w:jc w:val="center"/>
              <w:rPr>
                <w:rFonts w:ascii="宋体" w:hAnsi="宋体"/>
                <w:color w:val="000000"/>
                <w:kern w:val="0"/>
                <w:sz w:val="24"/>
              </w:rPr>
            </w:pPr>
          </w:p>
        </w:tc>
        <w:tc>
          <w:tcPr>
            <w:tcW w:w="1978" w:type="dxa"/>
            <w:tcBorders>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rPr>
                <w:rFonts w:ascii="宋体" w:hAnsi="宋体"/>
                <w:color w:val="000000"/>
                <w:kern w:val="0"/>
                <w:sz w:val="24"/>
              </w:rPr>
            </w:pPr>
            <w:r>
              <w:rPr>
                <w:rFonts w:hint="eastAsia" w:ascii="宋体" w:hAnsi="宋体"/>
                <w:color w:val="000000"/>
                <w:kern w:val="0"/>
                <w:sz w:val="24"/>
              </w:rPr>
              <w:t>学生助教、助管费</w:t>
            </w:r>
          </w:p>
        </w:tc>
        <w:tc>
          <w:tcPr>
            <w:tcW w:w="4341"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p>
        </w:tc>
        <w:tc>
          <w:tcPr>
            <w:tcW w:w="3627"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left"/>
              <w:rPr>
                <w:rFonts w:hint="eastAsia" w:hAnsi="宋体" w:eastAsia="宋体"/>
                <w:color w:val="000000"/>
                <w:kern w:val="0"/>
                <w:sz w:val="24"/>
                <w:lang w:val="en-US" w:eastAsia="zh-CN"/>
              </w:rPr>
            </w:pPr>
            <w:r>
              <w:rPr>
                <w:rFonts w:hint="eastAsia" w:hAnsi="宋体"/>
                <w:color w:val="000000"/>
                <w:kern w:val="0"/>
                <w:sz w:val="24"/>
              </w:rPr>
              <w:t>按照学生勤工助学标准</w:t>
            </w:r>
            <w:r>
              <w:rPr>
                <w:rFonts w:hint="eastAsia" w:hAnsi="宋体"/>
                <w:color w:val="000000"/>
                <w:kern w:val="0"/>
                <w:sz w:val="24"/>
                <w:lang w:val="en-US" w:eastAsia="zh-CN"/>
              </w:rPr>
              <w:t>标准</w:t>
            </w:r>
          </w:p>
        </w:tc>
        <w:tc>
          <w:tcPr>
            <w:tcW w:w="1865"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r>
              <w:rPr>
                <w:rFonts w:hint="eastAsia" w:hAnsi="宋体"/>
                <w:color w:val="000000"/>
                <w:kern w:val="0"/>
                <w:sz w:val="24"/>
              </w:rPr>
              <w:t>部门经费，可及时发放。</w:t>
            </w:r>
          </w:p>
        </w:tc>
        <w:tc>
          <w:tcPr>
            <w:tcW w:w="1913"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rPr>
                <w:rFonts w:hAnsi="宋体"/>
                <w:bCs/>
                <w:color w:val="000000"/>
                <w:kern w:val="0"/>
                <w:sz w:val="24"/>
              </w:rPr>
            </w:pPr>
            <w:r>
              <w:rPr>
                <w:rFonts w:hint="eastAsia" w:hAnsi="宋体"/>
                <w:color w:val="000000"/>
                <w:kern w:val="0"/>
                <w:sz w:val="24"/>
              </w:rPr>
              <w:t>部门负责人</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8" w:hRule="atLeast"/>
          <w:jc w:val="center"/>
        </w:trPr>
        <w:tc>
          <w:tcPr>
            <w:tcW w:w="395" w:type="dxa"/>
            <w:tcBorders>
              <w:left w:val="single" w:color="auto" w:sz="6" w:space="0"/>
              <w:right w:val="single" w:color="auto" w:sz="6" w:space="0"/>
            </w:tcBorders>
            <w:vAlign w:val="center"/>
          </w:tcPr>
          <w:p>
            <w:pPr>
              <w:adjustRightInd w:val="0"/>
              <w:snapToGrid w:val="0"/>
              <w:jc w:val="center"/>
              <w:rPr>
                <w:rFonts w:ascii="宋体" w:hAnsi="宋体"/>
                <w:color w:val="000000"/>
                <w:kern w:val="0"/>
                <w:sz w:val="24"/>
              </w:rPr>
            </w:pPr>
            <w:r>
              <w:rPr>
                <w:rFonts w:hint="eastAsia" w:ascii="宋体" w:hAnsi="宋体"/>
                <w:color w:val="000000"/>
                <w:kern w:val="0"/>
                <w:sz w:val="24"/>
              </w:rPr>
              <w:t>值班类</w:t>
            </w:r>
          </w:p>
        </w:tc>
        <w:tc>
          <w:tcPr>
            <w:tcW w:w="1978"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ind w:firstLine="480" w:firstLineChars="200"/>
              <w:rPr>
                <w:rFonts w:ascii="宋体" w:hAnsi="宋体"/>
                <w:color w:val="000000"/>
                <w:kern w:val="0"/>
                <w:sz w:val="24"/>
              </w:rPr>
            </w:pPr>
            <w:r>
              <w:rPr>
                <w:rFonts w:hint="eastAsia" w:ascii="宋体" w:hAnsi="宋体"/>
                <w:color w:val="000000"/>
                <w:kern w:val="0"/>
                <w:sz w:val="24"/>
              </w:rPr>
              <w:t>值班费</w:t>
            </w:r>
          </w:p>
        </w:tc>
        <w:tc>
          <w:tcPr>
            <w:tcW w:w="4341"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4"/>
              <w:spacing w:before="0" w:beforeAutospacing="0" w:after="156" w:afterLines="50" w:afterAutospacing="0"/>
              <w:jc w:val="both"/>
              <w:rPr>
                <w:rFonts w:cs="Arial"/>
                <w:color w:val="000000"/>
              </w:rPr>
            </w:pPr>
          </w:p>
        </w:tc>
        <w:tc>
          <w:tcPr>
            <w:tcW w:w="3627"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4"/>
              <w:spacing w:before="0" w:beforeAutospacing="0" w:after="156" w:afterLines="50" w:afterAutospacing="0"/>
              <w:jc w:val="both"/>
              <w:rPr>
                <w:rFonts w:cs="Arial"/>
                <w:color w:val="000000"/>
              </w:rPr>
            </w:pPr>
            <w:r>
              <w:rPr>
                <w:rFonts w:hint="eastAsia" w:cs="Arial"/>
                <w:color w:val="000000"/>
              </w:rPr>
              <w:t>不超过1个标准工作量</w:t>
            </w:r>
            <w:r>
              <w:rPr>
                <w:rFonts w:hint="eastAsia"/>
                <w:color w:val="000000"/>
              </w:rPr>
              <w:t>/晚（班次）/人或安排轮休，双休日、法定节假日翻倍计算。一般岗位全年不超过20个标准工作量，保卫、后勤等经学校批准认可的特殊岗位不得超过110个标准工作量，超出部分不予计算。</w:t>
            </w:r>
          </w:p>
        </w:tc>
        <w:tc>
          <w:tcPr>
            <w:tcW w:w="1865"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left"/>
              <w:rPr>
                <w:rFonts w:hAnsi="宋体"/>
                <w:color w:val="000000"/>
                <w:kern w:val="0"/>
                <w:sz w:val="24"/>
              </w:rPr>
            </w:pPr>
            <w:r>
              <w:rPr>
                <w:rFonts w:hint="eastAsia" w:hAnsi="宋体"/>
                <w:color w:val="000000"/>
                <w:kern w:val="0"/>
                <w:sz w:val="24"/>
              </w:rPr>
              <w:t>纳入绩效管理。</w:t>
            </w:r>
          </w:p>
        </w:tc>
        <w:tc>
          <w:tcPr>
            <w:tcW w:w="1913"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hAnsi="宋体"/>
                <w:bCs/>
                <w:color w:val="000000"/>
                <w:kern w:val="0"/>
                <w:sz w:val="24"/>
              </w:rPr>
            </w:pPr>
            <w:r>
              <w:rPr>
                <w:rFonts w:hint="eastAsia" w:hAnsi="宋体"/>
                <w:bCs/>
                <w:color w:val="000000"/>
                <w:kern w:val="0"/>
                <w:sz w:val="24"/>
              </w:rPr>
              <w:t>部门负责人、分管校领导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8" w:hRule="atLeast"/>
          <w:jc w:val="center"/>
        </w:trPr>
        <w:tc>
          <w:tcPr>
            <w:tcW w:w="395" w:type="dxa"/>
            <w:tcBorders>
              <w:left w:val="single" w:color="auto" w:sz="6" w:space="0"/>
              <w:right w:val="single" w:color="auto" w:sz="6" w:space="0"/>
            </w:tcBorders>
            <w:vAlign w:val="center"/>
          </w:tcPr>
          <w:p>
            <w:pPr>
              <w:adjustRightInd w:val="0"/>
              <w:snapToGrid w:val="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其他类</w:t>
            </w:r>
          </w:p>
        </w:tc>
        <w:tc>
          <w:tcPr>
            <w:tcW w:w="1978"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大学生体质健康标准测试</w:t>
            </w:r>
          </w:p>
        </w:tc>
        <w:tc>
          <w:tcPr>
            <w:tcW w:w="4341"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4"/>
              <w:spacing w:before="0" w:beforeAutospacing="0" w:after="156" w:afterLines="50" w:afterAutospacing="0"/>
              <w:jc w:val="both"/>
              <w:rPr>
                <w:rFonts w:cs="Arial"/>
                <w:color w:val="000000"/>
                <w:highlight w:val="yellow"/>
              </w:rPr>
            </w:pPr>
          </w:p>
        </w:tc>
        <w:tc>
          <w:tcPr>
            <w:tcW w:w="3627"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pStyle w:val="4"/>
              <w:spacing w:before="0" w:beforeAutospacing="0" w:after="156" w:afterLines="50" w:afterAutospacing="0"/>
              <w:jc w:val="both"/>
              <w:rPr>
                <w:rFonts w:hint="default" w:eastAsia="宋体" w:cs="Arial"/>
                <w:color w:val="000000"/>
                <w:highlight w:val="yellow"/>
                <w:lang w:val="en-US" w:eastAsia="zh-CN"/>
              </w:rPr>
            </w:pPr>
            <w:r>
              <w:rPr>
                <w:rFonts w:hint="eastAsia"/>
                <w:color w:val="000000"/>
                <w:lang w:val="en-US" w:eastAsia="zh-CN"/>
              </w:rPr>
              <w:t>按2元/学生标准核算工作量，当年学生数需学籍学位管理科核定。</w:t>
            </w:r>
          </w:p>
        </w:tc>
        <w:tc>
          <w:tcPr>
            <w:tcW w:w="1865"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adjustRightInd w:val="0"/>
              <w:snapToGrid w:val="0"/>
              <w:jc w:val="left"/>
              <w:rPr>
                <w:rFonts w:hint="eastAsia" w:ascii="Times New Roman" w:hAnsi="宋体" w:eastAsia="宋体" w:cs="Times New Roman"/>
                <w:color w:val="000000"/>
                <w:kern w:val="0"/>
                <w:sz w:val="24"/>
                <w:szCs w:val="24"/>
                <w:highlight w:val="yellow"/>
                <w:lang w:val="en-US" w:eastAsia="zh-CN" w:bidi="ar-SA"/>
              </w:rPr>
            </w:pPr>
            <w:r>
              <w:rPr>
                <w:rFonts w:hint="eastAsia" w:ascii="宋体" w:hAnsi="宋体" w:eastAsia="宋体" w:cs="宋体"/>
                <w:color w:val="000000"/>
                <w:kern w:val="0"/>
                <w:sz w:val="24"/>
                <w:szCs w:val="24"/>
                <w:lang w:val="en-US" w:eastAsia="zh-CN" w:bidi="ar-SA"/>
              </w:rPr>
              <w:t>纳入绩效管理。</w:t>
            </w:r>
          </w:p>
        </w:tc>
        <w:tc>
          <w:tcPr>
            <w:tcW w:w="1913" w:type="dxa"/>
            <w:tcBorders>
              <w:top w:val="single" w:color="auto" w:sz="4" w:space="0"/>
              <w:left w:val="single" w:color="auto" w:sz="6" w:space="0"/>
              <w:bottom w:val="single" w:color="auto" w:sz="6" w:space="0"/>
              <w:right w:val="single" w:color="auto" w:sz="6" w:space="0"/>
            </w:tcBorders>
            <w:tcMar>
              <w:top w:w="0" w:type="dxa"/>
              <w:left w:w="108" w:type="dxa"/>
              <w:bottom w:w="0" w:type="dxa"/>
              <w:right w:w="108" w:type="dxa"/>
            </w:tcMar>
            <w:vAlign w:val="center"/>
          </w:tcPr>
          <w:p>
            <w:pPr>
              <w:widowControl/>
              <w:adjustRightInd w:val="0"/>
              <w:snapToGrid w:val="0"/>
              <w:rPr>
                <w:rFonts w:hint="eastAsia" w:ascii="Times New Roman" w:hAnsi="宋体" w:eastAsia="宋体" w:cs="Times New Roman"/>
                <w:bCs/>
                <w:color w:val="000000"/>
                <w:kern w:val="0"/>
                <w:sz w:val="24"/>
                <w:szCs w:val="24"/>
                <w:highlight w:val="yellow"/>
                <w:lang w:val="en-US" w:eastAsia="zh-CN" w:bidi="ar-SA"/>
              </w:rPr>
            </w:pPr>
            <w:r>
              <w:rPr>
                <w:rFonts w:hint="eastAsia" w:ascii="宋体" w:hAnsi="宋体" w:eastAsia="宋体" w:cs="宋体"/>
                <w:color w:val="000000"/>
                <w:kern w:val="0"/>
                <w:sz w:val="24"/>
                <w:szCs w:val="24"/>
                <w:lang w:val="en-US" w:eastAsia="zh-CN" w:bidi="ar-SA"/>
              </w:rPr>
              <w:t>部门负责人、分管校领导</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35" w:hRule="atLeast"/>
          <w:jc w:val="center"/>
        </w:trPr>
        <w:tc>
          <w:tcPr>
            <w:tcW w:w="14119" w:type="dxa"/>
            <w:gridSpan w:val="6"/>
            <w:tcBorders>
              <w:left w:val="single" w:color="auto" w:sz="6" w:space="0"/>
              <w:bottom w:val="single" w:color="auto" w:sz="6" w:space="0"/>
              <w:right w:val="single" w:color="auto" w:sz="6" w:space="0"/>
            </w:tcBorders>
          </w:tcPr>
          <w:p>
            <w:pPr>
              <w:adjustRightInd w:val="0"/>
              <w:snapToGrid w:val="0"/>
              <w:rPr>
                <w:rFonts w:hAnsi="宋体"/>
                <w:color w:val="000000"/>
                <w:kern w:val="0"/>
                <w:sz w:val="24"/>
              </w:rPr>
            </w:pPr>
          </w:p>
          <w:p>
            <w:pPr>
              <w:adjustRightInd w:val="0"/>
              <w:snapToGrid w:val="0"/>
              <w:rPr>
                <w:rFonts w:ascii="宋体" w:hAnsi="宋体"/>
                <w:color w:val="000000"/>
                <w:sz w:val="24"/>
              </w:rPr>
            </w:pPr>
            <w:r>
              <w:rPr>
                <w:rFonts w:hAnsi="宋体"/>
                <w:color w:val="000000"/>
                <w:kern w:val="0"/>
                <w:sz w:val="24"/>
              </w:rPr>
              <w:t>说明</w:t>
            </w:r>
            <w:r>
              <w:rPr>
                <w:rFonts w:hint="eastAsia" w:hAnsi="宋体"/>
                <w:color w:val="000000"/>
                <w:kern w:val="0"/>
                <w:sz w:val="24"/>
              </w:rPr>
              <w:t>：</w:t>
            </w:r>
            <w:r>
              <w:rPr>
                <w:rFonts w:ascii="宋体" w:hAnsi="宋体"/>
                <w:color w:val="000000"/>
                <w:sz w:val="24"/>
              </w:rPr>
              <w:t>1.以上各类</w:t>
            </w:r>
            <w:r>
              <w:rPr>
                <w:rFonts w:hint="eastAsia" w:ascii="宋体" w:hAnsi="宋体"/>
                <w:color w:val="000000"/>
                <w:sz w:val="24"/>
              </w:rPr>
              <w:t>劳务费</w:t>
            </w:r>
            <w:r>
              <w:rPr>
                <w:rFonts w:ascii="宋体" w:hAnsi="宋体"/>
                <w:color w:val="000000"/>
                <w:sz w:val="24"/>
              </w:rPr>
              <w:t>发放标准均为上限标准，可降低发放，但不得突破</w:t>
            </w:r>
            <w:r>
              <w:rPr>
                <w:rFonts w:hint="eastAsia" w:ascii="宋体" w:hAnsi="宋体"/>
                <w:color w:val="000000"/>
                <w:sz w:val="24"/>
              </w:rPr>
              <w:t>，</w:t>
            </w:r>
            <w:r>
              <w:rPr>
                <w:rFonts w:hint="eastAsia" w:ascii="宋体" w:hAnsi="宋体"/>
                <w:color w:val="000000"/>
                <w:kern w:val="0"/>
                <w:sz w:val="24"/>
              </w:rPr>
              <w:t>上级文件有明确规定的，按上级文件规定进行；</w:t>
            </w:r>
          </w:p>
          <w:p>
            <w:pPr>
              <w:widowControl/>
              <w:adjustRightInd w:val="0"/>
              <w:snapToGrid w:val="0"/>
              <w:ind w:left="958" w:leftChars="342" w:hanging="240" w:hangingChars="10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一次性发放经费达到学校“三重一大”规定额度的，按照“一事一议”，由承办部门提出方案，提请学校会议研究，涉及“三重一大”事项的，按照“三重一大”有关规定程序办理；</w:t>
            </w:r>
          </w:p>
          <w:p>
            <w:pPr>
              <w:widowControl/>
              <w:adjustRightInd w:val="0"/>
              <w:snapToGrid w:val="0"/>
              <w:ind w:left="958" w:leftChars="342" w:hanging="240" w:hangingChars="100"/>
              <w:jc w:val="left"/>
              <w:rPr>
                <w:rFonts w:ascii="宋体" w:hAnsi="宋体"/>
                <w:color w:val="000000"/>
                <w:kern w:val="0"/>
                <w:sz w:val="24"/>
              </w:rPr>
            </w:pPr>
            <w:r>
              <w:rPr>
                <w:rFonts w:hint="eastAsia" w:ascii="宋体" w:hAnsi="宋体"/>
                <w:color w:val="000000"/>
                <w:kern w:val="0"/>
                <w:sz w:val="24"/>
              </w:rPr>
              <w:t>3.上述各类劳务费审批还需符合学校财务审批的限额等规定，所有人员经费均须到人事处分类备案后发放；</w:t>
            </w:r>
          </w:p>
          <w:p>
            <w:pPr>
              <w:widowControl/>
              <w:adjustRightInd w:val="0"/>
              <w:snapToGrid w:val="0"/>
              <w:ind w:left="958" w:leftChars="342" w:hanging="240" w:hangingChars="100"/>
              <w:jc w:val="left"/>
              <w:rPr>
                <w:rFonts w:ascii="宋体" w:hAnsi="宋体"/>
                <w:color w:val="000000"/>
                <w:kern w:val="0"/>
                <w:sz w:val="24"/>
              </w:rPr>
            </w:pPr>
            <w:r>
              <w:rPr>
                <w:rFonts w:hint="eastAsia" w:ascii="宋体" w:hAnsi="宋体"/>
                <w:color w:val="000000"/>
                <w:kern w:val="0"/>
                <w:sz w:val="24"/>
              </w:rPr>
              <w:t>4.校外人员、学生劳务费等非纳入绩效管理的劳务费可及时发放，纳入绩效管理的劳务费由劳务费审查小组每两个月集中审查一次，审查通过后方可计入个人工作量，无效申报一律不得计入，补充性绩效工作量对应的分值由学校综合当年教学、科研工作量情况研究确定；</w:t>
            </w:r>
          </w:p>
          <w:p>
            <w:pPr>
              <w:widowControl/>
              <w:adjustRightInd w:val="0"/>
              <w:snapToGrid w:val="0"/>
              <w:ind w:left="958" w:leftChars="342" w:hanging="240" w:hangingChars="100"/>
              <w:jc w:val="left"/>
              <w:rPr>
                <w:rFonts w:ascii="宋体" w:hAnsi="宋体"/>
                <w:color w:val="000000"/>
                <w:kern w:val="0"/>
                <w:sz w:val="24"/>
              </w:rPr>
            </w:pPr>
            <w:r>
              <w:rPr>
                <w:rFonts w:hint="eastAsia" w:ascii="宋体" w:hAnsi="宋体"/>
                <w:color w:val="000000"/>
                <w:kern w:val="0"/>
                <w:sz w:val="24"/>
              </w:rPr>
              <w:t>5.对无校外经费来源的讲座、评审、加班实行事先报备审批制度，承办单位或个人应事先按流程向、主管部门和分管校领导报备，有校外经费来源的讲座、评审、加班按审批权限规定事先按流程向项目（经费）主管部门报备；</w:t>
            </w:r>
          </w:p>
          <w:p>
            <w:pPr>
              <w:widowControl/>
              <w:adjustRightInd w:val="0"/>
              <w:snapToGrid w:val="0"/>
              <w:ind w:left="958" w:leftChars="342" w:hanging="240" w:hangingChars="100"/>
              <w:jc w:val="left"/>
              <w:rPr>
                <w:rFonts w:ascii="宋体" w:hAnsi="宋体"/>
                <w:color w:val="000000"/>
                <w:kern w:val="0"/>
                <w:sz w:val="24"/>
              </w:rPr>
            </w:pPr>
            <w:r>
              <w:rPr>
                <w:rFonts w:hint="eastAsia" w:ascii="宋体" w:hAnsi="宋体"/>
                <w:color w:val="000000"/>
                <w:kern w:val="0"/>
                <w:sz w:val="24"/>
              </w:rPr>
              <w:t>6.</w:t>
            </w:r>
            <w:r>
              <w:rPr>
                <w:rFonts w:hint="eastAsia" w:ascii="宋体" w:hAnsi="宋体"/>
                <w:color w:val="000000"/>
                <w:sz w:val="24"/>
              </w:rPr>
              <w:t>未纳入本目录的劳务费一律不予发放</w:t>
            </w:r>
            <w:r>
              <w:rPr>
                <w:rFonts w:ascii="宋体" w:hAnsi="宋体"/>
                <w:color w:val="000000"/>
                <w:sz w:val="24"/>
              </w:rPr>
              <w:t>，</w:t>
            </w:r>
            <w:r>
              <w:rPr>
                <w:rFonts w:hint="eastAsia" w:ascii="宋体" w:hAnsi="宋体"/>
                <w:color w:val="000000"/>
                <w:sz w:val="24"/>
              </w:rPr>
              <w:t>特殊情况可</w:t>
            </w:r>
            <w:r>
              <w:rPr>
                <w:rFonts w:hint="eastAsia" w:ascii="宋体" w:hAnsi="宋体"/>
                <w:color w:val="000000"/>
                <w:kern w:val="0"/>
                <w:sz w:val="24"/>
              </w:rPr>
              <w:t>提请学校会议研究决定是否临时性发放或增列入本目录。</w:t>
            </w:r>
          </w:p>
          <w:p>
            <w:pPr>
              <w:widowControl/>
              <w:adjustRightInd w:val="0"/>
              <w:snapToGrid w:val="0"/>
              <w:ind w:firstLine="720" w:firstLineChars="300"/>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7.除加班和值班外，个人补充性绩效工作量每年累计不超过60个，劳务派遣人员参照执行。</w:t>
            </w:r>
          </w:p>
          <w:p>
            <w:pPr>
              <w:widowControl/>
              <w:adjustRightInd w:val="0"/>
              <w:snapToGrid w:val="0"/>
              <w:ind w:left="958" w:leftChars="342" w:hanging="240" w:hangingChars="100"/>
              <w:jc w:val="left"/>
              <w:rPr>
                <w:rFonts w:hint="eastAsia" w:hAnsi="宋体"/>
                <w:color w:val="000000"/>
                <w:kern w:val="0"/>
                <w:sz w:val="24"/>
              </w:rPr>
            </w:pPr>
          </w:p>
        </w:tc>
      </w:tr>
    </w:tbl>
    <w:p>
      <w:r>
        <w:rPr>
          <w:rFonts w:hint="eastAsia"/>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D150F"/>
    <w:multiLevelType w:val="singleLevel"/>
    <w:tmpl w:val="D2ED150F"/>
    <w:lvl w:ilvl="0" w:tentative="0">
      <w:start w:val="1"/>
      <w:numFmt w:val="decimal"/>
      <w:suff w:val="nothing"/>
      <w:lvlText w:val="（%1）"/>
      <w:lvlJc w:val="left"/>
    </w:lvl>
  </w:abstractNum>
  <w:abstractNum w:abstractNumId="1">
    <w:nsid w:val="1124AB92"/>
    <w:multiLevelType w:val="singleLevel"/>
    <w:tmpl w:val="1124AB92"/>
    <w:lvl w:ilvl="0" w:tentative="0">
      <w:start w:val="1"/>
      <w:numFmt w:val="decimal"/>
      <w:suff w:val="nothing"/>
      <w:lvlText w:val="（%1）"/>
      <w:lvlJc w:val="left"/>
    </w:lvl>
  </w:abstractNum>
  <w:abstractNum w:abstractNumId="2">
    <w:nsid w:val="1B3098B1"/>
    <w:multiLevelType w:val="singleLevel"/>
    <w:tmpl w:val="1B3098B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F6"/>
    <w:rsid w:val="001C0830"/>
    <w:rsid w:val="00226FF6"/>
    <w:rsid w:val="00274C3E"/>
    <w:rsid w:val="0029743F"/>
    <w:rsid w:val="00392281"/>
    <w:rsid w:val="00581FAC"/>
    <w:rsid w:val="006F1869"/>
    <w:rsid w:val="00E868B7"/>
    <w:rsid w:val="0A1E6848"/>
    <w:rsid w:val="17F37DC8"/>
    <w:rsid w:val="2881321C"/>
    <w:rsid w:val="2EE37470"/>
    <w:rsid w:val="3580599B"/>
    <w:rsid w:val="47122592"/>
    <w:rsid w:val="5A434338"/>
    <w:rsid w:val="5DA52869"/>
    <w:rsid w:val="5E58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568</Words>
  <Characters>3240</Characters>
  <Lines>27</Lines>
  <Paragraphs>7</Paragraphs>
  <TotalTime>17</TotalTime>
  <ScaleCrop>false</ScaleCrop>
  <LinksUpToDate>false</LinksUpToDate>
  <CharactersWithSpaces>3801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2020-03-29T02:51:00Z</dcterms:created>
  <dc:creator>刘 小艳</dc:creator>
  <cp:lastModifiedBy>Chh</cp:lastModifiedBy>
  <dcterms:modified xsi:type="dcterms:W3CDTF">2021-05-19T12:53:02Z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1B1CD89BD83F4B718E83B4E3CE41A246</vt:lpwstr>
  </property>
</Properties>
</file>